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IC.MK112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3
4. Przygotowanie do zajęć (studiowanie literatury, odrabianie prac domowych itp.) -
5. Zbieranie informacji, opracowanie wyników -
6. Przygotowanie sprawozdania, prezentacji, raportu, dyskusji -
7. Nauka samodzielna – przygotowanie do zaliczenia/kolokwium/egzaminu 16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Aris ,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Uzupełniająca
1. N.P. Cheremisinoff (editor), Encyclopedia of Fluid Mechanics, Gulf Publishing, 1986.
2. B. Mohammmdi, O. Pironneau, Analysis of the K-Epsilon Turbulence Model, Wiley, 1994.
3. M. Lesieur, Turbulence in Fluids, Kluwer 1995.
4 . U. Frisch, Turbulence, Cambridge University Press,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przepływy w urządzeniach przemysłowych.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oceniać stabilność przepływów.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U3: </w:t>
      </w:r>
    </w:p>
    <w:p>
      <w:pPr/>
      <w:r>
        <w:rPr/>
        <w:t xml:space="preserve">Potrafi korzystać z modeli przepływów burzliwych.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i w zespole.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2026-09-28T23:11:37+02:00</dcterms:created>
  <dcterms:modified xsi:type="dcterms:W3CDTF">2026-09-28T23:11:37+02:00</dcterms:modified>
</cp:coreProperties>
</file>

<file path=docProps/custom.xml><?xml version="1.0" encoding="utf-8"?>
<Properties xmlns="http://schemas.openxmlformats.org/officeDocument/2006/custom-properties" xmlns:vt="http://schemas.openxmlformats.org/officeDocument/2006/docPropsVTypes"/>
</file>