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wiadomości i umiejętności z zakresu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P1 - Tolerowanie wymiarów (odchyłki i tolerancje symbolowe). P2 - Tolerowanie kształtu i położenia. P3 - Chropowatość powierzchni. P4 - Rysunek wykonawczy detalu o złożonych kształtach. P5 - Połączenia maszynowe i ich zapis w rysunku technicznym. P6 - Rysunek złożeniowy (tabelka i wykaz detali). P7 - Grafika przestrzenna (zasady pracy z modelami 3D): a) modele krawędziowe i powierzchniowe, b) modelowanie bryłowe (obiekty proste i bryły złożone).</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W07_02: </w:t>
      </w:r>
    </w:p>
    <w:p>
      <w:pPr/>
      <w:r>
        <w:rPr/>
        <w:t xml:space="preserve">Potrafi prawidłowo odczytać i zinterpretować symbole na rysunku technicznym. Zna zasady rzutów prostokątnych, potrafi odwzorować rzeczywisty detal w formie modelu 3 D.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w formie modelu 3D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							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2026-09-27T07:20:26+02:00</dcterms:created>
  <dcterms:modified xsi:type="dcterms:W3CDTF">2026-09-27T07:20:26+02:00</dcterms:modified>
</cp:coreProperties>
</file>

<file path=docProps/custom.xml><?xml version="1.0" encoding="utf-8"?>
<Properties xmlns="http://schemas.openxmlformats.org/officeDocument/2006/custom-properties" xmlns:vt="http://schemas.openxmlformats.org/officeDocument/2006/docPropsVTypes"/>
</file>