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godz;
c) konsultacje - 4 godz.
2. Praca własna studenta - 51 godzin, w tym:
a) przygotowanie do laboratorium  - 15 godz.;
b) opracowanie sprawozdań -16 godz.;
c) przygotowanie do kolokwiów - 20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b) laboratorium -15 godz.;
c) konsultacje - 4 godz.,
a) przygotowanie do laboratorium  - 15 godz.;
b) opracowanie sprawozdań -16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 (Wiesław Stafiej "Obliczenia stosowane przy projektowaniu szybowców" PW 2000).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ML.NS652A_W2: </w:t>
      </w:r>
    </w:p>
    <w:p>
      <w:pPr/>
      <w:r>
        <w:rPr/>
        <w:t xml:space="preserve">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ML.NS652A_W3: </w:t>
      </w:r>
    </w:p>
    <w:p>
      <w:pPr/>
      <w:r>
        <w:rPr/>
        <w:t xml:space="preserve">							Zna charakterystyki zmęczeniowe materiałów używanych w lotnictwie oraz oddziaływanie spiętrzeń naprężeń.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ML.NS652A_U4: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p>
      <w:pPr>
        <w:keepNext w:val="1"/>
        <w:spacing w:after="10"/>
      </w:pPr>
      <w:r>
        <w:rPr>
          <w:b/>
          <w:bCs/>
        </w:rPr>
        <w:t xml:space="preserve">Efekt ML.NS652A_U5: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2026-09-29T02:39:23+02:00</dcterms:created>
  <dcterms:modified xsi:type="dcterms:W3CDTF">2026-09-29T02:39:23+02:00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