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ML.NS644_W1: </w:t>
      </w:r>
    </w:p>
    <w:p>
      <w:pPr/>
      <w:r>
        <w:rPr/>
        <w:t xml:space="preserve">Posiada zaawansowaną wiedzę o budowie maszyn i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E2_W07, E2_W08, E2_W11, E2_W15,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T2A_U13, T2A_U15, T2A_U17, T2A_U18, T2A_U19, T2A_U15, T2A_U16, T2A_U19, T2A_U19</w:t>
      </w:r>
    </w:p>
    <w:p>
      <w:pPr>
        <w:keepNext w:val="1"/>
        <w:spacing w:after="10"/>
      </w:pPr>
      <w:r>
        <w:rPr>
          <w:b/>
          <w:bCs/>
        </w:rPr>
        <w:t xml:space="preserve">Efekt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T2A_U13, T2A_U15, T2A_U17, T2A_U18, T2A_U19, T2A_U15, T2A_U16, T2A_U19,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2025-05-08T17:41:10+02:00</dcterms:created>
  <dcterms:modified xsi:type="dcterms:W3CDTF">2025-05-08T17:41:10+02:00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