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Kierowanie projektami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inż. Wojciech Bujalski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ML.NK445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: 31, w tym:
a) udział w wykładach – 30 godz.,
b) udział w konsultacjach – 1 godz.
2) Praca własna studenta – 20 godzin, w tym: 
a) bieżące przygotowywanie się do wykładu, studiowanie literatury – 15 godz.,
b) przygotowywanie się do kolokwium – 5 godz.
Razem - 51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1,3 punktu ECTS - liczba godzin kontaktowych : 31, w tym:
a) udział w wykładach – 30 godz.,
b) udział w konsultacjach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powinien znać podstawy terminologii i zarządzania projektami. Powinien potrafić samodzielnie przygotować przedsięwzięcie zgodnie z metodologią project management.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metodyki zarządzania projektem. Klasyfikacja projektów. Projekty inwestycyjne, modernizacyjne i remontowe. Obowiązki inżyniera (kierownika) projektu. Fazy realizacji projektu. Przetarg publiczny – warunki prawne. Specyfikacja Istotnych Warunków Zamówienia. Nadzór inwestorski. Odbiór prac, gwarancje wykonawcze, serwis pogwarancyjny.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Końcowe kolokwium zaliczające oraz obecność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Zarządzanie projektami, Nancy Mingus.
2. Kompedium wiedzy o zarządzaniu projektami, Management Training &amp; Development Center, 2006.
Dodatkowe literatura:
- Materiały na stronie http://materialy.itc.pw.edu.pl/zmue/bujalski/kierowanie_projektami/.
- Piąta dyscyplina, Oficyna Wydawnicza, 2006.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ML.NK445_W1: </w:t>
      </w:r>
    </w:p>
    <w:p>
      <w:pPr/>
      <w:r>
        <w:rPr/>
        <w:t xml:space="preserve">Zna podstawowe zasady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E2_W19, E2_W20, E2_W22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T2A_W09, T2A_W11</w:t>
      </w:r>
    </w:p>
    <w:p>
      <w:pPr>
        <w:keepNext w:val="1"/>
        <w:spacing w:after="10"/>
      </w:pPr>
      <w:r>
        <w:rPr>
          <w:b/>
          <w:bCs/>
        </w:rPr>
        <w:t xml:space="preserve">Efekt ML.NK445_W2: </w:t>
      </w:r>
    </w:p>
    <w:p>
      <w:pPr/>
      <w:r>
        <w:rPr/>
        <w:t xml:space="preserve">Zna zasady organizacji prac inwestycyjnych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E2_W19, E2_W20, E2_W22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T2A_W09, T2A_W11</w:t>
      </w:r>
    </w:p>
    <w:p>
      <w:pPr>
        <w:keepNext w:val="1"/>
        <w:spacing w:after="10"/>
      </w:pPr>
      <w:r>
        <w:rPr>
          <w:b/>
          <w:bCs/>
        </w:rPr>
        <w:t xml:space="preserve">Efekt ML.NK445_W3: </w:t>
      </w:r>
    </w:p>
    <w:p>
      <w:pPr/>
      <w:r>
        <w:rPr/>
        <w:t xml:space="preserve">Zna podstawowe metody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E2_W19, E2_W20, E2_W22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T2A_W09, T2A_W11</w:t>
      </w:r>
    </w:p>
    <w:p>
      <w:pPr>
        <w:keepNext w:val="1"/>
        <w:spacing w:after="10"/>
      </w:pPr>
      <w:r>
        <w:rPr>
          <w:b/>
          <w:bCs/>
        </w:rPr>
        <w:t xml:space="preserve">Efekt ML.NK445_W4: </w:t>
      </w:r>
    </w:p>
    <w:p>
      <w:pPr/>
      <w:r>
        <w:rPr/>
        <w:t xml:space="preserve">Zna podstawową terminologię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E2_W19, E2_W20, E2_W22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T2A_W09, T2A_W11</w:t>
      </w:r>
    </w:p>
    <w:p>
      <w:pPr>
        <w:keepNext w:val="1"/>
        <w:spacing w:after="10"/>
      </w:pPr>
      <w:r>
        <w:rPr>
          <w:b/>
          <w:bCs/>
        </w:rPr>
        <w:t xml:space="preserve">Efekt ML.NK445_W5: </w:t>
      </w:r>
    </w:p>
    <w:p>
      <w:pPr/>
      <w:r>
        <w:rPr/>
        <w:t xml:space="preserve">Zna zasady zarządzania ryzykiem.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E2_W19, E2_W20, E2_W22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T2A_W09,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ML.NK445_U1: </w:t>
      </w:r>
    </w:p>
    <w:p>
      <w:pPr/>
      <w:r>
        <w:rPr/>
        <w:t xml:space="preserve">Potrafi definiować przedsięwzięcia jako projekty w rozumieniu Project Management.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E2_U08, 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T2A_U13</w:t>
      </w:r>
    </w:p>
    <w:p>
      <w:pPr>
        <w:keepNext w:val="1"/>
        <w:spacing w:after="10"/>
      </w:pPr>
      <w:r>
        <w:rPr>
          <w:b/>
          <w:bCs/>
        </w:rPr>
        <w:t xml:space="preserve">Efekt ML.NK445_U2: </w:t>
      </w:r>
    </w:p>
    <w:p>
      <w:pPr/>
      <w:r>
        <w:rPr/>
        <w:t xml:space="preserve">Potrafi uczestniczyć w zarządzaniu projektem.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E2_U08, 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T2A_U13</w:t>
      </w:r>
    </w:p>
    <w:p>
      <w:pPr>
        <w:keepNext w:val="1"/>
        <w:spacing w:after="10"/>
      </w:pPr>
      <w:r>
        <w:rPr>
          <w:b/>
          <w:bCs/>
        </w:rPr>
        <w:t xml:space="preserve">Efekt ML.NK445_U3: </w:t>
      </w:r>
    </w:p>
    <w:p>
      <w:pPr/>
      <w:r>
        <w:rPr/>
        <w:t xml:space="preserve">Potrafi wykonać proste oceny rentowności inwestycji.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E2_U08, 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T2A_U13</w:t>
      </w:r>
    </w:p>
    <w:p>
      <w:pPr>
        <w:keepNext w:val="1"/>
        <w:spacing w:after="10"/>
      </w:pPr>
      <w:r>
        <w:rPr>
          <w:b/>
          <w:bCs/>
        </w:rPr>
        <w:t xml:space="preserve">Efekt ML.NK445_U4: </w:t>
      </w:r>
    </w:p>
    <w:p>
      <w:pPr/>
      <w:r>
        <w:rPr/>
        <w:t xml:space="preserve">Potrafi konstruować zasady zarządzania ryzykiem w projekcie.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E2_U08, 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T2A_U13</w:t>
      </w:r>
    </w:p>
    <w:p>
      <w:pPr>
        <w:keepNext w:val="1"/>
        <w:spacing w:after="10"/>
      </w:pPr>
      <w:r>
        <w:rPr>
          <w:b/>
          <w:bCs/>
        </w:rPr>
        <w:t xml:space="preserve">Efekt ML.NK445_U5: </w:t>
      </w:r>
    </w:p>
    <w:p>
      <w:pPr/>
      <w:r>
        <w:rPr/>
        <w:t xml:space="preserve">Potrafi identyfikować ryzyka w projektach.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E2_U08, 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ML.NK445_K1: </w:t>
      </w:r>
    </w:p>
    <w:p>
      <w:pPr/>
      <w:r>
        <w:rPr/>
        <w:t xml:space="preserve">Potrafi działać w sposób kreatywny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własne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2025-05-07T12:36:46+02:00</dcterms:created>
  <dcterms:modified xsi:type="dcterms:W3CDTF">2025-05-07T12:36:46+02:00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