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urządzeń i systemów chłodniczych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Rusowicz,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ćwiczeniach - 15 godz.,
b) udział w wykładach - 15 godz.,
b) konsultacje - 2 godz.
2) Praca własna studenta - 25 godz., w tym:
a) Przygotowanie się do dwóch kolokwiów sprawdzających (jedno w połowie, drugie na koniec semestru). - 10 godz.,
b) Prace nad projektem -  zaprojektowanie i zestawienie prostego układu chłodniczego na podstawie własnych obliczeń i doboru komponentów z katalogów.- 15 godz.
Razem - 57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ćwiczeniach - 15 godz.,
b) udział w wykładach - 15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punktu ECTS -  w tym:
a) udział w ćwiczeniach - 15 godz.,
b) prace nad projektem -  zaprojektowanie i zestawienie prostego układu chłodniczego na podstawie własnych obliczeń i doboru komponentów z katalogów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nabywa umiejętności dotyczących rozpoznawania konstrukcji i wytwarzania parowników, skraplaczy, dochładzaczy, przegrzewaczy pary, chłodnic międzystopniowych. Zapoznanie z agregatami chłodniczymi, sprężarkowymi i skraplającymi. Instalacje sportowe sztucznie mrożone: lodowiska, skocznie narciarskie i tory bobslejowe.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Dobór konstrukcji i wytwarzania parowników, skraplaczy, dochładzaczy, przegrzewaczy pary, chłodnic międzystopniowych. Zapoznanie z agregatami chłodniczymi, sprężarkowymi i skraplającymi. Elementy automatyki i sterowania urządzeń chłodniczych. Dobór elementów składowych urządzeń chłodniczych do różnych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
Ocena projektu (zaprojektowanie i zestawienie prostego układu chłodniczego na podstawie własnych obliczeń i doboru komponentów z katalogów).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Ullrich H.J.: Technika chłodnicza – Poradnik MASTA 1998.
2. Fodemski T.R.: Domowe i handlowe urządzenia chłodnicze, NT 2000.
3. Czapp M., Charun H., Bohdal T.: Wielostopniowe sprężarkowe urządzenia chłodnicze, 1994.
4. Bohdal T., Czapp M., Charun H.:Urządzenia chłodnicze sprężarkowe parowe, WNT 2003.
5. ASHRAE Handbook, 2000 Systems and Equipment.
Dodatkowa literatura:
1. Katalogi urządzeń chłodniczych
2. Strony internetowe producentów urządzeń chłodniczych
3. Prasa dot. chłodnictwa: „Chłodnictwo”, „Chłodnictwo i Klimatyzacja”, „Technika Chłodnicza i Klimatyzacyjna”.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ML.NS715_W1: </w:t>
      </w:r>
    </w:p>
    <w:p>
      <w:pPr/>
      <w:r>
        <w:rPr/>
        <w:t xml:space="preserve">Student ma wiedzę dotyczących sprężarkowych obiegów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ML.NS715_W2: </w:t>
      </w:r>
    </w:p>
    <w:p>
      <w:pPr/>
      <w:r>
        <w:rPr/>
        <w:t xml:space="preserve">Student zna elementy składowe rzeczywistego urządzenia chłodniczego.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ML.NS715_W3: </w:t>
      </w:r>
    </w:p>
    <w:p>
      <w:pPr/>
      <w:r>
        <w:rPr/>
        <w:t xml:space="preserve">Student zna wytyczne projektowe i eksploatacyjne stosowane dla urządzeń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ML.NS715_W4: </w:t>
      </w:r>
    </w:p>
    <w:p>
      <w:pPr/>
      <w:r>
        <w:rPr/>
        <w:t xml:space="preserve">Student ma wiedzę dotyczącą doboru sprężarek do urządzeń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ML.NS715_W5: </w:t>
      </w:r>
    </w:p>
    <w:p>
      <w:pPr/>
      <w:r>
        <w:rPr/>
        <w:t xml:space="preserve">Student ma wiedzę dotyczącą sterowania pracą urządzeń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ML.NS715_U1: </w:t>
      </w:r>
    </w:p>
    <w:p>
      <w:pPr/>
      <w:r>
        <w:rPr/>
        <w:t xml:space="preserve">Student umie dobrać z katalogów sprężarkę do urządzenia chłodniczego.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T2A_U15, T2A_U16, T2A_U19</w:t>
      </w:r>
    </w:p>
    <w:p>
      <w:pPr>
        <w:keepNext w:val="1"/>
        <w:spacing w:after="10"/>
      </w:pPr>
      <w:r>
        <w:rPr>
          <w:b/>
          <w:bCs/>
        </w:rPr>
        <w:t xml:space="preserve">Efekt ML.NS715_U2: </w:t>
      </w:r>
    </w:p>
    <w:p>
      <w:pPr/>
      <w:r>
        <w:rPr/>
        <w:t xml:space="preserve">Student umie dobrać z katalogów wymienniki ciepła do urządzenia chłodniczego.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ML.NS715_U3: </w:t>
      </w:r>
    </w:p>
    <w:p>
      <w:pPr/>
      <w:r>
        <w:rPr/>
        <w:t xml:space="preserve">Student umie wykonać obliczenia cieplno-przepływowe dla różnych typów wymienników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E2_U23,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T2A_U18, T2A_U19, 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2026-09-30T23:50:07+02:00</dcterms:created>
  <dcterms:modified xsi:type="dcterms:W3CDTF">2026-09-30T23:50:07+02:00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