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wykłady – 15 godz.,
b) ćwiczenia  laboratoryjne – 15 godz.,
c) konsultacje – 10 godz.
2. Praca własna studenta –  20 godzin.
a) 10 godz. – przygotowanie się do zajęć laboratoryjnych,
b) 10 godz. - przygotowanie się do testu zaliczeniowego.
Razem –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– 15 godz.,
b) ćwiczenia  laboratoryjne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 
 6. Nowicki K.: Woźniak J. Przewodowe i bezprzewodowe sieci LAN. Oficyna PW, 2002. 
 7. Pawlak R.:. Okablowanie strukturalne sieci. Helion, 2008. 
 8. Sportack M.: Sieci komputerowe. Helion, 2004. 
Dodatkowa literatura: 
1. Materiały na stronie http://ztmir.meil.pw.edu.pl/index.php?/Dydaktyka/Prowadzone-przedmioty/Sieci-Komputerowe.
2. Kursy Internetowe. Dla ambitnych standardy z serii IEEE 802 oraz dokumenty RFC (dostępne online).
3. 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ML.NS658_W1: </w:t>
      </w:r>
    </w:p>
    <w:p>
      <w:pPr/>
      <w:r>
        <w:rPr/>
        <w:t xml:space="preserve">							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ML.NS658_W2: </w:t>
      </w:r>
    </w:p>
    <w:p>
      <w:pPr/>
      <w:r>
        <w:rPr/>
        <w:t xml:space="preserve">							Ma podstawową wiedzę  o działaniu lokalnych sieci komputerowych LAN.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ML.NS658_W3: </w:t>
      </w:r>
    </w:p>
    <w:p>
      <w:pPr/>
      <w:r>
        <w:rPr/>
        <w:t xml:space="preserve">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ML.NS658_U1: </w:t>
      </w:r>
    </w:p>
    <w:p>
      <w:pPr/>
      <w:r>
        <w:rPr/>
        <w:t xml:space="preserve">							Potrafi zidentyfikować warstwy modelu TCP/IP/Ethernet realizujące ważniejsze funkcje sieciowe.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2026-10-19T15:58:20+02:00</dcterms:created>
  <dcterms:modified xsi:type="dcterms:W3CDTF">2026-10-19T15:58:20+02:00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