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ML.NK473_U1: </w:t>
      </w:r>
    </w:p>
    <w:p>
      <w:pPr/>
      <w:r>
        <w:rPr/>
        <w:t xml:space="preserve">														Potrafi opisać sposób wyznaczania potencjalnego opływu profilu lotniczego z uwzględnieniem warunku Kutty-Zukowskiego.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ML.NK473_U2: </w:t>
      </w:r>
    </w:p>
    <w:p>
      <w:pPr/>
      <w:r>
        <w:rPr/>
        <w:t xml:space="preserve">								Potrafi wyznaczyć opór indukowany, a także objaśnić fizyczne powody jego powstawania i związek z geometrią skrzydła.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ML.NK473_U3: </w:t>
      </w:r>
    </w:p>
    <w:p>
      <w:pPr/>
      <w:r>
        <w:rPr/>
        <w:t xml:space="preserve">									Potrafi określić poprawki 	charakterystyk aerodynamicznych związane ze ściśliwością ośrodka.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ML.NK473_U4: </w:t>
      </w:r>
    </w:p>
    <w:p>
      <w:pPr/>
      <w:r>
        <w:rPr/>
        <w:t xml:space="preserve">								Potrafi opisać obraz naddźwiękowego opływu cienkiego profili i  wyznaczyć jego charakterystyki aerodynamiczne.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2026-02-08T05:41:08+01:00</dcterms:created>
  <dcterms:modified xsi:type="dcterms:W3CDTF">2026-02-08T05:41:08+01:00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