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- 35, w tym:
a) wykłady - 30 godz.,
b) konsultacje - 5 godz.,
Praca własna studenta - bieżące przygotowywanie się do wykładu, studia literaturowe, przygotowanie się do kolokwiów - 40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wykłady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"Fizyka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ML.NK480_W1: </w:t>
      </w:r>
    </w:p>
    <w:p>
      <w:pPr/>
      <w:r>
        <w:rPr/>
        <w:t xml:space="preserve">							Ma uporządkowaną wiedzę na temat struktury i właściwości materii, oddziaływań fundamentalnych i mechaniki relatywistycznej.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ML.NK480_W2: </w:t>
      </w:r>
    </w:p>
    <w:p>
      <w:pPr/>
      <w:r>
        <w:rPr/>
        <w:t xml:space="preserve">							Ma uporządkowaną wiedzę nt. zjawisk elektromagnetycznych i optycznych w zakresie pozwalającym zrozumienie zasad działania typowych urządzeń pomiarowych i diagnostycznych.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ML.NK480_U3: </w:t>
      </w:r>
    </w:p>
    <w:p>
      <w:pPr/>
      <w:r>
        <w:rPr/>
        <w:t xml:space="preserve">							Potrafi wyjaśnić zasady działania typowych urządzeń wykorzystujących zjawiska optyki falowej i rozumie jakie wynikają z tego możliwości.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2026-10-19T13:17:22+02:00</dcterms:created>
  <dcterms:modified xsi:type="dcterms:W3CDTF">2026-10-19T13:17:22+02:00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