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375 godzin, w tym:
1. Liczba godzin wymagających bezpośredniego kontaktu z opiekunem: 150, w tym:
a) spotkania i konsultacje - 149 godz.,
b) zaliczenie przedmiotu - 1 godz. 
2. Liczba godzin pracy własnej: 225.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 punktów - 150 godz. w tym:
a) spotkania i konsultacje - 149 godz.,
b) zaliczenie przedmiotu - 1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umiejętności: - rozwiązania postawionego zadania inżynierskiego, - doboru literatury, - wyboru metod rozwiązania, - przedstawienia i krytycznej analizy wyników. 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Zależne od konkretnego tematu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Prowadzący pracę (promotor) oraz recenzent sprawdzają wykonanie założonego zadania oceniając poszczególne jej aspekty wg formularza oceny pracy dyplomowej. W przypadku pozytywnej oceny następuje jej zaliczenie, zaś ostateczna ocena wystawiana jest przez komisję podczas egzaminu dyplomowego.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ML.NW136_W1: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LiK1_W16, LiK1_W17, LiK1_W20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ML.NW136_U1: </w:t>
      </w:r>
    </w:p>
    <w:p>
      <w:pPr/>
      <w:r>
        <w:rPr/>
        <w:t xml:space="preserve">Potrafi ulokować rozwiązywany problem w szerszym zakresie nauki na podstawie badań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ML.NW136_U2: </w:t>
      </w:r>
    </w:p>
    <w:p>
      <w:pPr/>
      <w:r>
        <w:rPr/>
        <w:t xml:space="preserve">Potrafi skorzystać z literatury do poszukiwania wskazówek przy rozwiązywaniu wybranego problemu badawczego lub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LiK1_U05, LiK1_U19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T1A_U14</w:t>
      </w:r>
    </w:p>
    <w:p>
      <w:pPr>
        <w:keepNext w:val="1"/>
        <w:spacing w:after="10"/>
      </w:pPr>
      <w:r>
        <w:rPr>
          <w:b/>
          <w:bCs/>
        </w:rPr>
        <w:t xml:space="preserve">Efekt ML.NW136_U3: </w:t>
      </w:r>
    </w:p>
    <w:p>
      <w:pPr/>
      <w:r>
        <w:rPr/>
        <w:t xml:space="preserve">Potrafi samodzielnie rozwiązać proste zadanie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LiK1_U14,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</w:t>
      </w:r>
    </w:p>
    <w:p>
      <w:pPr>
        <w:keepNext w:val="1"/>
        <w:spacing w:after="10"/>
      </w:pPr>
      <w:r>
        <w:rPr>
          <w:b/>
          <w:bCs/>
        </w:rPr>
        <w:t xml:space="preserve">Efekt ML.NW136_U4: </w:t>
      </w:r>
    </w:p>
    <w:p>
      <w:pPr/>
      <w:r>
        <w:rPr/>
        <w:t xml:space="preserve">Potrafi krytycznie ustosunkować się do wyników uzyskanych w trakcie rozwiązywania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ML.NW136_U5: </w:t>
      </w:r>
    </w:p>
    <w:p>
      <w:pPr/>
      <w:r>
        <w:rPr/>
        <w:t xml:space="preserve">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LiK1_U03, LiK1_U06, LiK1_U07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T1A_U06, T1A_U07</w:t>
      </w:r>
    </w:p>
    <w:p>
      <w:pPr>
        <w:keepNext w:val="1"/>
        <w:spacing w:after="10"/>
      </w:pPr>
      <w:r>
        <w:rPr>
          <w:b/>
          <w:bCs/>
        </w:rPr>
        <w:t xml:space="preserve">Efekt ML.NW136_U6: </w:t>
      </w:r>
    </w:p>
    <w:p>
      <w:pPr/>
      <w:r>
        <w:rPr/>
        <w:t xml:space="preserve">Potrafi - przy formułowaniu i rozwiązywaniu zadań inżynierskich dostrzegać ich aspekty systemowe i pozatechniczne.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ML.NW136_K1: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ML.NW136_K2: </w:t>
      </w:r>
    </w:p>
    <w:p>
      <w:pPr/>
      <w:r>
        <w:rPr/>
        <w:t xml:space="preserve">Ma świadomość wagi pozatechnicznych aspektów i skutków działalności inżynierskiej, w tym jej wpływu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ML.NW136_K3: </w:t>
      </w:r>
    </w:p>
    <w:p>
      <w:pPr/>
      <w:r>
        <w:rPr/>
        <w:t xml:space="preserve">Ma świadomość konieczności działania w sposób profesjonalny i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p>
      <w:pPr>
        <w:keepNext w:val="1"/>
        <w:spacing w:after="10"/>
      </w:pPr>
      <w:r>
        <w:rPr>
          <w:b/>
          <w:bCs/>
        </w:rPr>
        <w:t xml:space="preserve">Efekt ML.NW136_K4: </w:t>
      </w:r>
    </w:p>
    <w:p>
      <w:pPr/>
      <w:r>
        <w:rPr/>
        <w:t xml:space="preserve">Rozumie potrzebę przekazywania społeczeństwu – m.in. poprzez środki masowego przekazu – informacji o osiągnięciach techniki i innych aspektach działalności inżyniera i potrafi przekazać takie informacje w sposób powszechnie zrozumiały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2025-05-08T08:39:52+02:00</dcterms:created>
  <dcterms:modified xsi:type="dcterms:W3CDTF">2025-05-08T08:39:52+02:00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