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Student wie, jak rozwiązywać proste problemy z zakresu mechaniki niutonowskiej.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Student wie, jak wykorzystać rachunek różniczkowy i całkowy w zagadnieniach kinematyki i dynamiki.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Student zna zakres stosowalności kinematyki i dynamiki niutonowskiej. Zna paradygmat tej dyscypliny.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Student umie rozwiązywać proste problemy z zakresu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Student umie wykorzystać podstawy rachunku różniczkowego i całkowego w kinematyce i dynamice.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Student umie określić obszar zagadnień, gdzie można skutecznie stosować narzędzia mechaniki niutonowskiej.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ML.NW115_K1: </w:t>
      </w:r>
    </w:p>
    <w:p>
      <w:pPr/>
      <w:r>
        <w:rPr/>
        <w:t xml:space="preserve">Student umie komunikować się w zakresie dotyczącym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2026-10-19T22:55:56+02:00</dcterms:created>
  <dcterms:modified xsi:type="dcterms:W3CDTF">2026-10-19T22:55:56+02:00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