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Biomechaniki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Matyjewski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wykład – 30 godz.,
b) konsultacje – 5 godz.
2. Praca własna studenta – 35 godzin, w tym:
a) 15 godz. – przygotowanie się studenta do kolokwiów w trakcie semestru,
b) 25 godz. – przygotowanie się studenta do wykładów, realizacja zadań domowych.
Razem - 75 godz. = 3 punkty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kontaktowych: 35, w tym: 
a) wykład – 30 godz., 
b)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podstaw ergonomii. Zaznajomienie z podstawami modelowania w biomechanice.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Biomechanika w ergonomii, zapobieganie powstawaniu urazów w wyniku nadmiernych obciążeń oraz obciążeń powtarzalnych. Metody ergonomicznej oceny stanowisk pracy. Ocena wysiłku fizycznego. Powiązanie zagrożeń z ryzykiem i bezpieczeństwem. Ochrona przed oddziaływaniem wibracji i hałasu. Zagrożenia mechaniczne na stanowiskach pracy. Anatomia układu ruchowego człowieka. Funkcje kręgosłupa. Zakres ruchów kręgosłupa. Własności wytrzymałościowe tkanek człowieka. Przebudowa tkanki kostnej. Ogólna analiza mechaniczna, modelowanie i symulacja komputerowa w biomechanice. Stateczność kręgosłupa. Zastosowanie metody elementów skończonych (MES). Modelowanie układu kręgosłupa oraz stawów kończyny dolnej, ilościowa analiza statyczna i dynamiczna. Przykłady: model całego kręgosłupa wraz z klatką piersiową uwzględniający napięcie mięśni. Kryteria sterowania mięśniami człowieka. Model segmentu ruchowego kręgosłupa z uwzględnieniem wszystkich zjawisk występujących w krążku międzykręgowym. Zastosowania modeli matematycznych w ergonomii i medycynie. Ochrona człowieka przed skutkami zderzeń. Bazy danych o wypadkach drogowych. Skale obrażeń, np. AIS. Biomechanika w medycynie, przyczyny powstawania urazów układu mięśniowo – szkieletowego człowieka ze szczególnym uwzględnieniem kręgosłupa i dużych stawów. Podstawy projektowania implantów, biozgodność materiałów, zmiany rozkładu naprężeń w otoczeniu endoprotezy.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uzyskania zaliczenia jest pozytywna ocena z dwóch kolokwiów. Możliwość poprawy oceny niedostatecznej na dodatkowym kolokwium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Nałęcz M. red., "Tom 5 – Biomechanika i Inżynieria Rehabilitacyjna", Akademicka Oficyna Wyd. „Exit”, Warszawa, 2004.
2. Będziński R., „Biomechanika inżynierska - zagadnienia wybrane”, Oficyna Wydawnicza Politechniki Wrocławskiej, Wrocław 1997.
3. Bober T., Zawadzki J., „Biomechanika układu ruchu człowieka”, Wydawnictwo BK, Wrocław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ML.NS705_W1: </w:t>
      </w:r>
    </w:p>
    <w:p>
      <w:pPr/>
      <w:r>
        <w:rPr/>
        <w:t xml:space="preserve">Potrafi tworzyć i analizować proste modele narządów lub zjawisk charakterystycznych dla biorobotyki.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ML.NS705_W2: </w:t>
      </w:r>
    </w:p>
    <w:p>
      <w:pPr/>
      <w:r>
        <w:rPr/>
        <w:t xml:space="preserve">Zna najbardziej istotne zjawiska biochemiczne zachodzące w tkankach ciała. Zna problemy inżynierskie z zakresu ergonomii.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ML.NS705_U1: </w:t>
      </w:r>
    </w:p>
    <w:p>
      <w:pPr/>
      <w:r>
        <w:rPr/>
        <w:t xml:space="preserve">Potrafi udoskonalać modele biomechaniczne.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T2A_U15, T2A_U17</w:t>
      </w:r>
    </w:p>
    <w:p>
      <w:pPr>
        <w:keepNext w:val="1"/>
        <w:spacing w:after="10"/>
      </w:pPr>
      <w:r>
        <w:rPr>
          <w:b/>
          <w:bCs/>
        </w:rPr>
        <w:t xml:space="preserve">Efekt ML.NS685_U2: </w:t>
      </w:r>
    </w:p>
    <w:p>
      <w:pPr/>
      <w:r>
        <w:rPr/>
        <w:t xml:space="preserve">Potrafi integrować wiedzę z różnych dziedzin: mechaniki, medycyny, metod numerycznych.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T2A_U10, T2A_U18</w:t>
      </w:r>
    </w:p>
    <w:p>
      <w:pPr>
        <w:keepNext w:val="1"/>
        <w:spacing w:after="10"/>
      </w:pPr>
      <w:r>
        <w:rPr>
          <w:b/>
          <w:bCs/>
        </w:rPr>
        <w:t xml:space="preserve">Efekt ML.NS705_U3: </w:t>
      </w:r>
    </w:p>
    <w:p>
      <w:pPr/>
      <w:r>
        <w:rPr/>
        <w:t xml:space="preserve">Potrafi zidentyfikować zagrożenia na stanowisku pracy oraz zaproponować odpowiednie środki zwiększające poziom bezpieczeństwa w pracy.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2025-05-11T18:14:50+02:00</dcterms:created>
  <dcterms:modified xsi:type="dcterms:W3CDTF">2025-05-11T18:14:50+02:00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