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TP_W01: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T1A_U01, T1A_U03, T1_U07: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T1A_U09, T1A_U08, T1A_U09, T1A_U01, T1A_U15, T1A_U07, T1A_U09, T1A_U14</w:t>
      </w:r>
    </w:p>
    <w:p>
      <w:pPr>
        <w:pStyle w:val="Heading3"/>
      </w:pPr>
      <w:bookmarkStart w:id="4" w:name="_Toc4"/>
      <w:r>
        <w:t>Profil ogólnoakademicki - kompetencje społeczne</w:t>
      </w:r>
      <w:bookmarkEnd w:id="4"/>
    </w:p>
    <w:p>
      <w:pPr>
        <w:keepNext w:val="1"/>
        <w:spacing w:after="10"/>
      </w:pPr>
      <w:r>
        <w:rPr>
          <w:b/>
          <w:bCs/>
        </w:rPr>
        <w:t xml:space="preserve">Efekt T1A_K01, T1A_K02, T1A_K07: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2026-10-03T05:44:59+02:00</dcterms:created>
  <dcterms:modified xsi:type="dcterms:W3CDTF">2026-10-03T05:44:59+02:00</dcterms:modified>
</cp:coreProperties>
</file>

<file path=docProps/custom.xml><?xml version="1.0" encoding="utf-8"?>
<Properties xmlns="http://schemas.openxmlformats.org/officeDocument/2006/custom-properties" xmlns:vt="http://schemas.openxmlformats.org/officeDocument/2006/docPropsVTypes"/>
</file>