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5
czytanie wskazanej literatury 5
Sumaryczne obciążenie pracą studenta	30</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S1A_W03, S1A_W07, S1A_W09, S1A_W11, S1A_W11</w:t>
      </w:r>
    </w:p>
    <w:p>
      <w:pPr>
        <w:keepNext w:val="1"/>
        <w:spacing w:after="10"/>
      </w:pPr>
      <w:r>
        <w:rPr>
          <w:b/>
          <w:bCs/>
        </w:rPr>
        <w:t xml:space="preserve">Efekt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S1A_W05, S1A_W06,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U_03: </w:t>
      </w:r>
    </w:p>
    <w:p>
      <w:pPr/>
      <w:r>
        <w:rPr/>
        <w:t xml:space="preserve">Umie wskazać ośrodki powstawania kosztów oraz stosować zasadę wpólmierności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2026-09-28T09:28:41+02:00</dcterms:created>
  <dcterms:modified xsi:type="dcterms:W3CDTF">2026-09-28T09:28:41+02:00</dcterms:modified>
</cp:coreProperties>
</file>

<file path=docProps/custom.xml><?xml version="1.0" encoding="utf-8"?>
<Properties xmlns="http://schemas.openxmlformats.org/officeDocument/2006/custom-properties" xmlns:vt="http://schemas.openxmlformats.org/officeDocument/2006/docPropsVTypes"/>
</file>