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 Bitner, E. Chojna-Duch, J. Chowaniec, H. E. Litwińczuk, M.Grzybowski, E. I. Chojna-Duch, P. Karwat, P. Karwat, E. Kornberger-Sokołowska, M. Lachowicz, H. Litwińczuk, W. Modzelewski, K. Radzikowski, M. Ślifirczyk, M. Supera-Markowska, K. Tetłak, M. Waluga, Prawo finansowe. Prawo finansów publicznych. Prawo podatkowe. Prawo bankowe, Warszawa 2017.
2. P. Felis, M. Jamrozy, J. Szlęzak-Matusewicz, Podatki i składki w działalności przedsiębiorców, Warszawa 2015.
3. I. Olchowicz, P. Felis, M. Jamrozy, J. Szlęzak-Matusewicz,  VAT w działalności gospodarczej, Warszawa 2015.
Literatura uzupełniająca:	   
1. P. Panfil, Prawne i finansowe uwarunkowania długu Skarbu Państwa, Wolters Kluwer, Warszawa 2016.
2. M. Bitner, Prawne instrumenty ograniczania deficytu budżetowego i długu publicznego jednostek samorządu terytorialnego, Wolters Kluwer,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nauki o finansach</w:t>
      </w:r>
    </w:p>
    <w:p>
      <w:pPr>
        <w:spacing w:before="60"/>
      </w:pPr>
      <w:r>
        <w:rPr/>
        <w:t xml:space="preserve">Weryfikacja: </w:t>
      </w:r>
    </w:p>
    <w:p>
      <w:pPr>
        <w:spacing w:before="20" w:after="190"/>
      </w:pPr>
      <w:r>
        <w:rPr/>
        <w:t xml:space="preserve">w formie kolokwium, egzaminu oraz sprawdzenia prawidłowego wykonania ćwiczeń praktycznych.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W formie testu, sprawdzenia prawidłowego wykonania ćwiczeń praktycznych oraz egzaminu.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w formie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Analizuje orzecznictwo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U_05: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U_06: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efekty kierunkowe: </w:t>
      </w:r>
      <w:r>
        <w:rPr/>
        <w:t xml:space="preserve">K_U01, K_U02, K_U03,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U_07: </w:t>
      </w:r>
    </w:p>
    <w:p>
      <w:pPr/>
      <w:r>
        <w:rPr/>
        <w:t xml:space="preserve">Student potrafi wykorzystywać posiadaną wiedzę, do określenia wysokości podatków, w szczególności  wysokości podatku od nieruchomości i podatku od środków transportowych.
</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U_08: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efekty kierunkowe: </w:t>
      </w:r>
      <w:r>
        <w:rPr/>
        <w:t xml:space="preserve">K_U04, K_U06, K_U09</w:t>
      </w:r>
    </w:p>
    <w:p>
      <w:pPr>
        <w:spacing w:before="20" w:after="190"/>
      </w:pPr>
      <w:r>
        <w:rPr>
          <w:b/>
          <w:bCs/>
        </w:rPr>
        <w:t xml:space="preserve">Powiązane efekty obszarowe: </w:t>
      </w:r>
      <w:r>
        <w:rPr/>
        <w:t xml:space="preserve">S1A_U01, S1A_U02, S1A_U03, S1A_U04, S1A_U05, S1A_U06, S1A_U07, S1A_U08, 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Wykazuje zdolność do uzupełniania nabytej wiedzy.</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K_03: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S1A_K01, S1A_K02, S1A_K04, S1A_K06, S1A_K04, S1A_K05, S1A_K07</w:t>
      </w:r>
    </w:p>
    <w:p>
      <w:pPr>
        <w:keepNext w:val="1"/>
        <w:spacing w:after="10"/>
      </w:pPr>
      <w:r>
        <w:rPr>
          <w:b/>
          <w:bCs/>
        </w:rPr>
        <w:t xml:space="preserve">Efekt U_04: </w:t>
      </w:r>
    </w:p>
    <w:p>
      <w:pPr/>
      <w:r>
        <w:rPr/>
        <w:t xml:space="preserve">Student jest gotów do inicjowania działania na rzecz interesu publicznego i myślenia i działania w sposób przedsiębiorczy.</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2026-02-07T10:06:09+01:00</dcterms:created>
  <dcterms:modified xsi:type="dcterms:W3CDTF">2026-02-07T10:06:09+01:00</dcterms:modified>
</cp:coreProperties>
</file>

<file path=docProps/custom.xml><?xml version="1.0" encoding="utf-8"?>
<Properties xmlns="http://schemas.openxmlformats.org/officeDocument/2006/custom-properties" xmlns:vt="http://schemas.openxmlformats.org/officeDocument/2006/docPropsVTypes"/>
</file>