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i ćwiczenia: dr Monika Stachowiak-Kudła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 Bitner, E. Chojna-Duch, J. Chowaniec, H. E. Litwińczuk, M.Grzybowski, E. I. Chojna-Duch, P. Karwat, P. Karwat, E. Kornberger-Sokołowska, M. Lachowicz, H. Litwińczuk, W. Modzelewski, K. Radzikowski, M. Ślifirczyk, M. Supera-Markowska, K. Tetłak, M. Waluga, Prawo finansowe. Prawo finansów publicznych. Prawo podatkowe. Prawo bankowe, Warszawa 2017.
2. P. Felis, M. Jamrozy, J. Szlęzak-Matusewicz, Podatki i składki w działalności przedsiębiorców, Warszawa 2015.
3. I. Olchowicz, P. Felis, M. Jamrozy, J. Szlęzak-Matusewicz,  VAT w działalności gospodarczej, Warszawa 2015.
Literatura uzupełniająca:	   
1. P. Panfil, Prawne i finansowe uwarunkowania długu Skarbu Państwa, Wolters Kluwer, Warszawa 2016.
2. M. Bitner, Prawne instrumenty ograniczania deficytu budżetowego i długu publicznego jednostek samorządu terytorialnego, Wolters Kluwer,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nauki o finansach</w:t>
      </w:r>
    </w:p>
    <w:p>
      <w:pPr>
        <w:spacing w:before="60"/>
      </w:pPr>
      <w:r>
        <w:rPr/>
        <w:t xml:space="preserve">Weryfikacja: </w:t>
      </w:r>
    </w:p>
    <w:p>
      <w:pPr>
        <w:spacing w:before="20" w:after="190"/>
      </w:pPr>
      <w:r>
        <w:rPr/>
        <w:t xml:space="preserve">w formie kolokwium, egzaminu oraz sprawdzenia prawidłowego wykonania ćwiczeń praktycznych.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Rozróżnia i definiuje podstawowe pojęcia oraz rozpoznaje instytucje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Wymienia i charakteryzuje główne akty normatywne regulujące sferę finansów publicznych, a także funkcjonowanie rynku finansowego.</w:t>
      </w:r>
    </w:p>
    <w:p>
      <w:pPr>
        <w:spacing w:before="60"/>
      </w:pPr>
      <w:r>
        <w:rPr/>
        <w:t xml:space="preserve">Weryfikacja: </w:t>
      </w:r>
    </w:p>
    <w:p>
      <w:pPr>
        <w:spacing w:before="20" w:after="190"/>
      </w:pPr>
      <w:r>
        <w:rPr/>
        <w:t xml:space="preserve">W formie testu, sprawdzenia prawidłowego wykonania ćwiczeń praktycznych oraz egzaminu.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Przedstawia najistotniejsze orzeczenia sądów i trybunałów w przedmiocie prawa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Wskazuje cechy charakterystyczne, podobieństwa i różnice między poszczególnymi instytucjami prawa finansów publicznych, prawa podatkowego, prawa bankowego publicznego.</w:t>
      </w:r>
    </w:p>
    <w:p>
      <w:pPr>
        <w:spacing w:before="60"/>
      </w:pPr>
      <w:r>
        <w:rPr/>
        <w:t xml:space="preserve">Weryfikacja: </w:t>
      </w:r>
    </w:p>
    <w:p>
      <w:pPr>
        <w:spacing w:before="20" w:after="190"/>
      </w:pPr>
      <w:r>
        <w:rPr/>
        <w:t xml:space="preserve">w formie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Interpretuje przepisy głównych aktów normatywnych z zakresu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Analizuje orzecznictwo z zakresu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Charakteryzuje mechanizm działania subwencji ogólnych i dotacji celowych dla jednostek samorządu terytorialnego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U_05: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keepNext w:val="1"/>
        <w:spacing w:after="10"/>
      </w:pPr>
      <w:r>
        <w:rPr>
          <w:b/>
          <w:bCs/>
        </w:rPr>
        <w:t xml:space="preserve">Efekt U_06: </w:t>
      </w:r>
    </w:p>
    <w:p>
      <w:pPr/>
      <w:r>
        <w:rPr/>
        <w:t xml:space="preserve">Student potrafi wykonywać zadania w warunkach nie w pełni przewidywalnych przez właściwy dobór źródeł oraz informacji z nich pochodzących, dokonywanie oceny, krytycznej analizy i syntezy tych informacji.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efekty kierunkowe: </w:t>
      </w:r>
      <w:r>
        <w:rPr/>
        <w:t xml:space="preserve">K_U01, K_U02, K_U03, K_U10</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w:t>
      </w:r>
    </w:p>
    <w:p>
      <w:pPr>
        <w:keepNext w:val="1"/>
        <w:spacing w:after="10"/>
      </w:pPr>
      <w:r>
        <w:rPr>
          <w:b/>
          <w:bCs/>
        </w:rPr>
        <w:t xml:space="preserve">Efekt U_07: </w:t>
      </w:r>
    </w:p>
    <w:p>
      <w:pPr/>
      <w:r>
        <w:rPr/>
        <w:t xml:space="preserve">Student potrafi wykorzystywać posiadaną wiedzę, do określenia wysokości podatków, w szczególności  wysokości podatku od nieruchomości i podatku od środków transportowych.
</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U_08: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efekty kierunkowe: </w:t>
      </w:r>
      <w:r>
        <w:rPr/>
        <w:t xml:space="preserve">K_U04, K_U06, K_U09</w:t>
      </w:r>
    </w:p>
    <w:p>
      <w:pPr>
        <w:spacing w:before="20" w:after="190"/>
      </w:pPr>
      <w:r>
        <w:rPr>
          <w:b/>
          <w:bCs/>
        </w:rPr>
        <w:t xml:space="preserve">Powiązane efekty obszarowe: </w:t>
      </w:r>
      <w:r>
        <w:rPr/>
        <w:t xml:space="preserve">S1A_U01, S1A_U02, S1A_U03, S1A_U04, S1A_U05, S1A_U06, S1A_U07, S1A_U08, S1A_U06, S1A_U08, S1A_U09, S1A_U10,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zawodowej w pracy (naruszenie dyscypliny finansów publicznych)</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Wykazuje zdolność do uzupełniania nabytej wiedzy.</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K_03: </w:t>
      </w:r>
    </w:p>
    <w:p>
      <w:pPr/>
      <w:r>
        <w:rPr/>
        <w:t xml:space="preserve">Student jest gotów do uznawania znaczenia wiedzy w rozwiązywaniu problemów związanych z funkcjonowaniem jednostek sektora finansów publicznych. </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S1A_K01, S1A_K02, S1A_K04, S1A_K06, S1A_K04, S1A_K05, S1A_K07</w:t>
      </w:r>
    </w:p>
    <w:p>
      <w:pPr>
        <w:keepNext w:val="1"/>
        <w:spacing w:after="10"/>
      </w:pPr>
      <w:r>
        <w:rPr>
          <w:b/>
          <w:bCs/>
        </w:rPr>
        <w:t xml:space="preserve">Efekt U_04: </w:t>
      </w:r>
    </w:p>
    <w:p>
      <w:pPr/>
      <w:r>
        <w:rPr/>
        <w:t xml:space="preserve">Student jest gotów do inicjowania działania na rzecz interesu publicznego i myślenia i działania w sposób przedsiębiorczy.</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S1A_K04, S1A_K06,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2026-09-27T07:22:32+02:00</dcterms:created>
  <dcterms:modified xsi:type="dcterms:W3CDTF">2026-09-27T07:22:32+02:00</dcterms:modified>
</cp:coreProperties>
</file>

<file path=docProps/custom.xml><?xml version="1.0" encoding="utf-8"?>
<Properties xmlns="http://schemas.openxmlformats.org/officeDocument/2006/custom-properties" xmlns:vt="http://schemas.openxmlformats.org/officeDocument/2006/docPropsVTypes"/>
</file>