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z elementami odpowiedzialności cywilnej w administracji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na które składa się: 25 godzin wykładów i 15 godzin ćwiczeń oraz 85 godzin pracy własnej. Na zajęciach ćwiczeniowych podane zostaną teksty ustaw oraz kazusy do rozwiązania samodzielnego. 80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5,5 ECTS - 15 godzin ćwiczeń oraz 150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W_3: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U_2: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S1A_K01, S1A_K02, S1A_K03, S1A_K04, S1A_K05, S1A_K07, S1A_K01, S1A_K02, S1A_K04, S1A_K06, S1A_K04, S1A_K05, S1A_K07</w:t>
      </w:r>
    </w:p>
    <w:p>
      <w:pPr>
        <w:keepNext w:val="1"/>
        <w:spacing w:after="10"/>
      </w:pPr>
      <w:r>
        <w:rPr>
          <w:b/>
          <w:bCs/>
        </w:rPr>
        <w:t xml:space="preserve">Efekt K_2: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K_3: </w:t>
      </w:r>
    </w:p>
    <w:p>
      <w:pPr/>
      <w:r>
        <w:rPr/>
        <w:t xml:space="preserve">Ma świadomość znaczenia regulacji prawa cywilnego w rozstrzyganiu spraw dnia powszedniego.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K_4: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2026-07-26T10:07:25+02:00</dcterms:created>
  <dcterms:modified xsi:type="dcterms:W3CDTF">2026-07-26T10:07:25+02:00</dcterms:modified>
</cp:coreProperties>
</file>

<file path=docProps/custom.xml><?xml version="1.0" encoding="utf-8"?>
<Properties xmlns="http://schemas.openxmlformats.org/officeDocument/2006/custom-properties" xmlns:vt="http://schemas.openxmlformats.org/officeDocument/2006/docPropsVTypes"/>
</file>