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126 godzin, w tym: praca na wykładach 30 godz., studiowanie literatury przedmiotu 25 godz., samodzielne rozwiązywanie zadań 25 godz., konsultacje 10 godz., przygotowanie do kolokwiów 15 godz., przygotowanie do egzaminu 20 godz., udział w egzaminie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(41 godzin, w tym: praca na wykładach 30 godz., konsultacje 10 godz., udział w egzaminie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Wyposażenie Studenta w wiedzę:
1)	społeczno-kulturowe uwarunkowanie językowego wymiaru prawa;
2)	o prawie i prawoznawstwie jako szczególnym przedmiocie badań;
3)	o budowie aktów normatywnych i porządku prawnym;
4)	o regułach posługiwania się tekstami prawnymi.
Wyposażenie Studenta w umiejętność:
1)	posługiwania się podstawowymi pojęciami prawa i prawoznawstwa; 
2)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Wykłady (tematy oraz zagadnienia)
1. Charakterystyka nauk prawnych. Różne koncepcje ujmowania prawa. Prawo a inne regulatory życia społecznego. Język prawny i prawniczy.
2. Cechy organizacji państwowej. Funkcje państwa. Teorie pochodzenia państwa. Partie polityczne a lobby. Typ i forma państwa. Liberalny i interwencjonistyczny model państwa. 
3.Klasyfikacja organów władzy publicznej. Aparat państwowy i jego struktura. Samorząd terytorialny.
4. Różne koncepcje ujmowania prawa. Prawo a inne regulatory życia społecznego. Język prawny i prawniczy.
5. Rodzaje wypowiedzi językowych. Norma prawna- właściwości i koncepcje budowy. 
6. Przepis prawny. Budowa aktu normatywnego. Praca z materiałem normatywnym.
7. Zdarzenia prawne. Stosunek prawny. Podmiotowość prawna 
8. System prawny. Fakty prawotwórcze. Modele tworzenia prawa.
9. Zagadnienia walidacyjne prawoznawstwa. Temporalny, przestrzenny i podmiotowy wymiar obowiązywania prawa. 
10. Wykładnia prawa i jej rodzaje. Reguły interpretacyjne i inferencyjne. Praca z materiałem normatywnym. Kazusy
11. Przestrzeganie, stosowanie i wykonywanie prawa. Postawy wobec prawa. Praworządność. Demokratyczne państwo prawa. Pojęcie i zasady odpowiedzialności prawnej.
12. Ochrona praw człowieka. Orzecznictwo Europejskiego Trybunału Praw Człowieka w Strasburgu. Pojęcie sprawiedliwości i jej rodzaje.
13. Prawo międzynarodowe publiczne. Prawo wspólnotowe jako prawo ponadnarodowe.</w:t>
      </w:r>
    </w:p>
    <w:p>
      <w:pPr>
        <w:keepNext w:val="1"/>
        <w:spacing w:after="10"/>
      </w:pPr>
      <w:r>
        <w:rPr>
          <w:b/>
          <w:bCs/>
        </w:rPr>
        <w:t xml:space="preserve">Metody oceny: </w:t>
      </w:r>
    </w:p>
    <w:p>
      <w:pPr>
        <w:spacing w:before="20" w:after="190"/>
      </w:pPr>
      <w:r>
        <w:rPr/>
        <w:t xml:space="preserve">Przedmiot zaliczany będzie w formie egzaminu. W wypadku aktywnego uczestnictwa studentów w ćwiczeniach brane będą pod uwagę przy wystawianiu oceny końcowej oceny z wystąpień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T. Chauvin, T. Stawecki, P. Winczorek, Wstęp do prawoznawstwa, wyd. 10, Warszawa 2016.
2) A. Korybski, L. Leszczyński, A. Pieniążek, Wstęp do prawoznawstwa, Lublin 2009. 
3)  W. Góralczyk Jr, Podstawy prawa, wyd. 4, Warszawa 2014.
Literatura uzupełniająca:
1) J. Jamroz, Wstęp do prawoznawstwa, Warszawa 2008
2) L. Morawski, Wstęp do prawoznawstwa, wyd. 15, Toruń 2014.
3) J. Krukowski, Wstęp do nauki o państwie i prawie, Lublin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Wyposażenie Studenta w wiedzę o: 1) społeczno-kulturowych uwarunkowaniach językowego wymiaru prawa; 2) prawie i prawoznawstwie jako szczególnym przedmiocie badań; 3) budowie aktów normatywnych i porządku prawnego; 4) regułach posługiwania się tekstami prawnymi.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Wyposażenie Studenta w umiejętność:
1)	posługiwania się podstawowymi pojęciami prawa i prawoznawstwa; 
2)	ustalania mocy obowiązującej przepisów prawnych; interpretacji tekstów prawnych, stosowania reguł kolizyjnych i reguł wnioskowań prawniczych. </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P1A_U01, P1A_U02, P1A_U03, P1A_U05, P1A_U06, P1A_U07, P1A_U08, P1A_U09, P1A_U10,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Wprowadzenie do studiowania szerszych problemów.</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2026-09-26T20:43:55+02:00</dcterms:created>
  <dcterms:modified xsi:type="dcterms:W3CDTF">2026-09-26T20:43:55+02:00</dcterms:modified>
</cp:coreProperties>
</file>

<file path=docProps/custom.xml><?xml version="1.0" encoding="utf-8"?>
<Properties xmlns="http://schemas.openxmlformats.org/officeDocument/2006/custom-properties" xmlns:vt="http://schemas.openxmlformats.org/officeDocument/2006/docPropsVTypes"/>
</file>