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Bioethics</w:t>
      </w:r>
    </w:p>
    <w:p>
      <w:pPr>
        <w:keepNext w:val="1"/>
        <w:spacing w:after="10"/>
      </w:pPr>
      <w:r>
        <w:rPr>
          <w:b/>
          <w:bCs/>
        </w:rPr>
        <w:t xml:space="preserve">Koordynator przedmiotu: </w:t>
      </w:r>
    </w:p>
    <w:p>
      <w:pPr>
        <w:spacing w:before="20" w:after="190"/>
      </w:pPr>
      <w:r>
        <w:rPr/>
        <w:t xml:space="preserve">dr Bartłomiej Skowron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 participant who has successfully completed this course should: 
1) Be able to understand the complex normative systems of bioethics, health law and international human rights as they impact on the development of health policy, locally, nationally and internationally. 
2) Be able to apply the complex normative systems of bioethics, health law and international human rights as they apply to a variety of contemporary issues in this area locally, nationally and internationally 
3) Be able to understand the impact on the complex normative systems of bioethics, health law and international human rights of international trade agreements and the lobbying principles of corporate globalisation 
4) Be able to write and speak effectively at an academic or high policy level in the areas of regulation of cost-effectiveness evaluation of medicines and access to health services 
5) Be able to effectively resolve disputes arising in this area in private or public legal practise.
</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2026-09-30T05:44:21+02:00</dcterms:created>
  <dcterms:modified xsi:type="dcterms:W3CDTF">2026-09-30T05:44:21+02:00</dcterms:modified>
</cp:coreProperties>
</file>

<file path=docProps/custom.xml><?xml version="1.0" encoding="utf-8"?>
<Properties xmlns="http://schemas.openxmlformats.org/officeDocument/2006/custom-properties" xmlns:vt="http://schemas.openxmlformats.org/officeDocument/2006/docPropsVTypes"/>
</file>