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prof nzw dr hab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wykład 45 h,
b)	ćwiczenia 15 h
2.	zapoznanie się ze wskazaną literaturą   30 h
3.	przygotowanie do kolokwium   30 h
4. przygotowanie do egzaminu, obecność na egzaminie   40 h
Razem nakład pracy studenta:160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45 h ,
2.	ćwiczenia 15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podstawowymi prawami fizyki i zjawiskami zachodzącymi w mikroświecie i ich zastosowaniem we współczesnych technikach badawczych materiałów.
Po ukończeniu kursu student powinien mieć ogólną wiedzę  na temat:
•	Falowych i korpuskularnych własności promieniowania elektromagnetycznego,
•	Elementów mechaniki kwantowej, fizyki ciała stałego, fizyki jądrowej
•	Współczesnych metod badawczych materiałów biologicznych, w tym: spektroskopii dyfrakcyjnej, polaryzacyjnej, absorpcyjnej, emisyjnej, a także metod jądrowego i elektronowego rezonansu magnetycznego, tomografii komputerowej (CT) i pozytonowej (PET), mikroskopu tunelowego, mikroskopu sił atomowych.
</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zakresu fizyki, w tym optyki falowej i geometrycznej, mechaniki kwantowej, fizyki ciała stałego,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keepNext w:val="1"/>
        <w:spacing w:after="10"/>
      </w:pPr>
      <w:r>
        <w:rPr>
          <w:b/>
          <w:bCs/>
        </w:rPr>
        <w:t xml:space="preserve">Efekt W02: </w:t>
      </w:r>
    </w:p>
    <w:p>
      <w:pPr/>
      <w:r>
        <w:rPr/>
        <w:t xml:space="preserve">Ma podstawową wiedzę na temat współczesnych metod badawczych materiałów biologicznych: spektroskopii dyfrakcyjnej, polaryzacyjnej, absorpcyjnej, emisyjnej, a także metod jądrowego i elektronowego rezonansu magnetycznego, tomografii komputerowej (CT) i pozytonowej (PET), mikroskopu tunelowego, mikroskopu sił atomowych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rozwiązywać proste problemy  z zakresu  optyki, mechaniki kwantowej, fizyki ciała stałego i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korzystać przy rozwiązywaniu prostych zagadnień z zakresu biotechnologii z narzędzi matematycznych i wymaganej wiedzy fizycznej z dziedziny optyki, mechaniki kwantowej, fizyki jądrowej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 K_U12 </w:t>
      </w:r>
    </w:p>
    <w:p>
      <w:pPr>
        <w:spacing w:before="20" w:after="190"/>
      </w:pPr>
      <w:r>
        <w:rPr>
          <w:b/>
          <w:bCs/>
        </w:rPr>
        <w:t xml:space="preserve">Powiązane efekty obszarowe: </w:t>
      </w:r>
      <w:r>
        <w:rPr/>
        <w:t xml:space="preserve">T1A_U08, T1A_U08</w:t>
      </w:r>
    </w:p>
    <w:p>
      <w:pPr>
        <w:keepNext w:val="1"/>
        <w:spacing w:after="10"/>
      </w:pPr>
      <w:r>
        <w:rPr>
          <w:b/>
          <w:bCs/>
        </w:rPr>
        <w:t xml:space="preserve">Efekt U03: </w:t>
      </w:r>
    </w:p>
    <w:p>
      <w:pPr/>
      <w:r>
        <w:rPr/>
        <w:t xml:space="preserve">Potrafi dobrać i zaproponować odpowiednią technikę badawczą do określenia konkretnych własności materiałów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wiedzy</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2026-09-28T08:51:08+02:00</dcterms:created>
  <dcterms:modified xsi:type="dcterms:W3CDTF">2026-09-28T08:51:08+02:00</dcterms:modified>
</cp:coreProperties>
</file>

<file path=docProps/custom.xml><?xml version="1.0" encoding="utf-8"?>
<Properties xmlns="http://schemas.openxmlformats.org/officeDocument/2006/custom-properties" xmlns:vt="http://schemas.openxmlformats.org/officeDocument/2006/docPropsVTypes"/>
</file>