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zasad legislacji i technik formułowania norm prawnych oraz organów administracji publicznej którym przyznane zostały kompetencje prawotwórcze oraz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też okazją do dyskusji między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Podmioty administracji publicznej posiadające kompetencje prawotwórcze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legislacyjna w samorządzie terytorialnym
8) Przykładowe regulacje procedur prawodawczych (np. nadanie nazwy ulicy, przedszkolu, budżet jednostek samorządu terytorialnego, miejscowy plan zagospodarowania przestrzennego)
9) Podstawowe techniki legislacyjne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T. Bakowski, P. Uziębło, G. Wierczyński, Zarys legislacji administracyjnej. Uwarunkowania i zasady prawotwórczej działalności administracji publicznej, Wrocław 2010;
G. Wierczyński, Redagowanie i ogłaszanie aktów normatywnych. Komentarz, Warszawa 2010;
A. Bałaban, D. Dąbek,P. Kędziora A. Malinowski (red.), R. Pawelec, R. Piotrowski, Zarys metodyki pracy legislatora. Ustawy, Akty wykonawcze, Prawo miejscowe, Warszawa 2009;
S. Lewandowski, Technika prawodawcza i zasady techniki prawodawczej, Edukacja prawnicza nr 10 (55)/2003;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W_02: </w:t>
      </w:r>
    </w:p>
    <w:p>
      <w:pPr/>
      <w:r>
        <w:rPr/>
        <w:t xml:space="preserve">Ma podstawową wiedzę o strukturze i funkcjach organów administracji publicznej odpowiedzialnych za tworzenie prawa i kontroli nad działalnością prawotwórczą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rozwiązywania prostych problemów prawnych związanych z tworzeniem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U_02: </w:t>
      </w:r>
    </w:p>
    <w:p>
      <w:pPr/>
      <w:r>
        <w:rPr/>
        <w:t xml:space="preserve">Posiada umiejętność posługiwania się źródłami prawa dotyczącymi stanowienia prawa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Ma świadomość konieczności zagwarantowania udziału społeczeństwa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etycznych występujących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K_K01, K_K02, K_K09 BNP</w:t>
      </w:r>
    </w:p>
    <w:p>
      <w:pPr>
        <w:spacing w:before="20" w:after="190"/>
      </w:pPr>
      <w:r>
        <w:rPr>
          <w:b/>
          <w:bCs/>
        </w:rPr>
        <w:t xml:space="preserve">Powiązane efekty obszarowe: </w:t>
      </w:r>
      <w:r>
        <w:rPr/>
        <w:t xml:space="preserve">S2A_K02, S2A_K05, S2A_K01, S2A_K04, S2A_K06,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2026-05-02T10:42:02+02:00</dcterms:created>
  <dcterms:modified xsi:type="dcterms:W3CDTF">2026-05-02T10:42:02+02:00</dcterms:modified>
</cp:coreProperties>
</file>

<file path=docProps/custom.xml><?xml version="1.0" encoding="utf-8"?>
<Properties xmlns="http://schemas.openxmlformats.org/officeDocument/2006/custom-properties" xmlns:vt="http://schemas.openxmlformats.org/officeDocument/2006/docPropsVTypes"/>
</file>