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A2_FTPR</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zastosowania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W_06: </w:t>
      </w:r>
    </w:p>
    <w:p>
      <w:pPr/>
      <w:r>
        <w:rPr/>
        <w:t xml:space="preserve">Ma podstawową wiedzę o funkcjach PR, o jego celach, podstawach, organizacji i funkcjonowaniu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U_02 : </w:t>
      </w:r>
    </w:p>
    <w:p>
      <w:pPr/>
      <w:r>
        <w:rPr/>
        <w:t xml:space="preserve">Potrafi zdiagnozować potrzeby organizacji w oparciu o analizę: strategii i kultury organizacyjnej oraz zdefiniować zakres zadań komórki PR.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keepNext w:val="1"/>
        <w:spacing w:after="10"/>
      </w:pPr>
      <w:r>
        <w:rPr>
          <w:b/>
          <w:bCs/>
        </w:rPr>
        <w:t xml:space="preserve">Efekt U_03: </w:t>
      </w:r>
    </w:p>
    <w:p>
      <w:pPr/>
      <w:r>
        <w:rPr/>
        <w:t xml:space="preserve">Wie na czym polega praca zespołów PR, zna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S2A_U01, S2A_U02, S2A_U05, S2A_U06, S2A_U01, S2A_U02, S2A_U03, S2A_U05, S2A_U06, S2A_U07, S2A_U08, 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i rozwoju osobistego.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S2A_K01, S2A_K04, S2A_K06, S2A_K02, S2A_K03, S2A_K01, S2A_K03, S2A_K06, S2A_K07</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 K_K03, K_K04, K_K08 BNP</w:t>
      </w:r>
    </w:p>
    <w:p>
      <w:pPr>
        <w:spacing w:before="20" w:after="190"/>
      </w:pPr>
      <w:r>
        <w:rPr>
          <w:b/>
          <w:bCs/>
        </w:rPr>
        <w:t xml:space="preserve">Powiązane efekty obszarowe: </w:t>
      </w:r>
      <w:r>
        <w:rPr/>
        <w:t xml:space="preserve">S2A_K01, S2A_K04, S2A_K06, S2A_K02, S2A_K03, S2A_K01, S2A_K03, S2A_K06, S2A_K07, S2A_K01,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2026-03-20T07:03:45+01:00</dcterms:created>
  <dcterms:modified xsi:type="dcterms:W3CDTF">2026-03-20T07:03:45+01:00</dcterms:modified>
</cp:coreProperties>
</file>

<file path=docProps/custom.xml><?xml version="1.0" encoding="utf-8"?>
<Properties xmlns="http://schemas.openxmlformats.org/officeDocument/2006/custom-properties" xmlns:vt="http://schemas.openxmlformats.org/officeDocument/2006/docPropsVTypes"/>
</file>