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godz. : wykłady - 16; konsultacje - 10; przygotowanie do zajęć - 15; przygotowanie do zaliczenia - 3; przygotowanie do kolokwium - 3; zaliczenie poprawkowe - 3.
</w:t>
      </w:r>
    </w:p>
    <w:p>
      <w:pPr>
        <w:keepNext w:val="1"/>
        <w:spacing w:after="10"/>
      </w:pPr>
      <w:r>
        <w:rPr>
          <w:b/>
          <w:bCs/>
        </w:rPr>
        <w:t xml:space="preserve">Liczba punktów ECTS na zajęciach wymagających bezpośredniego udziału nauczycieli akademickich: </w:t>
      </w:r>
    </w:p>
    <w:p>
      <w:pPr>
        <w:spacing w:before="20" w:after="190"/>
      </w:pPr>
      <w:r>
        <w:rPr/>
        <w:t xml:space="preserve">I. 0,76 ECTS - wykłady, zaliczenia
II.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sie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2026-03-25T10:48:50+01:00</dcterms:created>
  <dcterms:modified xsi:type="dcterms:W3CDTF">2026-03-25T10:48:50+01:00</dcterms:modified>
</cp:coreProperties>
</file>

<file path=docProps/custom.xml><?xml version="1.0" encoding="utf-8"?>
<Properties xmlns="http://schemas.openxmlformats.org/officeDocument/2006/custom-properties" xmlns:vt="http://schemas.openxmlformats.org/officeDocument/2006/docPropsVTypes"/>
</file>