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 w tym: 16h - wykłady; 16h - ćwiczenia; 15h - konsultacje, przygotowanie do zajęć - 28h, przygotowanie się do egzaminu - 25h, przygotowanie się do zaliczenia - 25h)
</w:t>
      </w:r>
    </w:p>
    <w:p>
      <w:pPr>
        <w:keepNext w:val="1"/>
        <w:spacing w:after="10"/>
      </w:pPr>
      <w:r>
        <w:rPr>
          <w:b/>
          <w:bCs/>
        </w:rPr>
        <w:t xml:space="preserve">Liczba punktów ECTS na zajęciach wymagających bezpośredniego udziału nauczycieli akademickich: </w:t>
      </w:r>
    </w:p>
    <w:p>
      <w:pPr>
        <w:spacing w:before="20" w:after="190"/>
      </w:pPr>
      <w:r>
        <w:rPr/>
        <w:t xml:space="preserve">I. 1,48 ECTS - wykłady, ćwiczenia, egzaminy
II.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prognozowanie
popytu, zależność między elastycznością cenową i
utargami). 3. Analiza produkcji (funkcja kosztów,
funkcja produkcji, korzyści i niekorzyści skali,
korzyści zakresu,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prognozowanie
popytu, zależność między elastycznością cenową i
utargami). 3. Analiza produkcji (funkcja kosztów,
funkcja produkcji, korzyści i niekorzyści skali,
korzyści zakresu,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Fischer, R. Dornbusch, Mikroekonomia, PWE,
Warszawa 2007, r. 18 Czy warto sprywatyzować
monopol naturalny? (s. 550-576).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U04: </w:t>
      </w:r>
    </w:p>
    <w:p>
      <w:pPr/>
      <w:r>
        <w:rPr/>
        <w:t xml:space="preserve">W wyniku przeprowadzonych zajęć student
powinien być w stanie przeprowadzić analizę
kosztów w krótkim i długim okresie i dokonać
oceny różnych decyzji menedżerskich i roli rynku
w przedsiębiorstwie.</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instytucjach sektora publicznego.</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2026-09-30T04:55:30+02:00</dcterms:created>
  <dcterms:modified xsi:type="dcterms:W3CDTF">2026-09-30T04:55:30+02:00</dcterms:modified>
</cp:coreProperties>
</file>

<file path=docProps/custom.xml><?xml version="1.0" encoding="utf-8"?>
<Properties xmlns="http://schemas.openxmlformats.org/officeDocument/2006/custom-properties" xmlns:vt="http://schemas.openxmlformats.org/officeDocument/2006/docPropsVTypes"/>
</file>