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ZMI 10</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125 h w tym wykłady i ćwiczenia - 32 h, przygotowanie do zajęć w tym zapoznanie z literaturą - 20 h, przygotowanie do egzaminu - 20 h, przygotowanie do zaliczenia - 20 h,   przygotowanie do kolokwium - 10 h, konsultacje - 10 h,          inne (egzaminy, zaliczenia, quizy on-line) - 13 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ćwiczenia 
0,92 ECTS - konsultacje, quizy on-line, egzaminy, zaliczenia (w tym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5.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Wyznaczanie poznanych wskaźników z wykorzystaniem arkuszy kalkulacyjnych.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2 prace kontrolne (kolokwia).
Warunkiem zaliczenia jest pozytywne zaliczenie kolokwium 1 i 2 oraz egzaminu.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Posiada wiedzę o metodach i narzędziach statystycznych niezbędnych do analizy zjawisk gospodarczych i społecznych, potrafi wybrać właściwe narzędzia do przeprowadzenia badania statystycznego. </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stosować metody opisu statystycznego, wyznaczać miary średnie, zróżnicowania i asymetrii. Potrafi zbadać korelację i regresję, dokonać analizy dynamiki zjawisk.</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U09: </w:t>
      </w:r>
    </w:p>
    <w:p>
      <w:pPr/>
      <w:r>
        <w:rPr/>
        <w:t xml:space="preserve">Posiada umiejętność zbierania danych i sporządzania zestawień, przeprowadzania analiz i ich weryfikacji oraz stosowania metod statystycznych w ocenie przedsięwzięć gospodarczych.</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U10: </w:t>
      </w:r>
    </w:p>
    <w:p>
      <w:pPr/>
      <w:r>
        <w:rPr/>
        <w:t xml:space="preserve">Potrafi zaprojektować i wykonać badanie statystyczne, skonstruować szeregi statystyczne i wykresy. Analizować i zaprezentować otrzymane wyniki. </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formuować logiczne wnioski  z samodzielnie przeprowadzonych badań. Rozumie potrzebę dalszego kształcenia</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2026-09-04T12:10:53+02:00</dcterms:created>
  <dcterms:modified xsi:type="dcterms:W3CDTF">2026-09-04T12:10:53+02:00</dcterms:modified>
</cp:coreProperties>
</file>

<file path=docProps/custom.xml><?xml version="1.0" encoding="utf-8"?>
<Properties xmlns="http://schemas.openxmlformats.org/officeDocument/2006/custom-properties" xmlns:vt="http://schemas.openxmlformats.org/officeDocument/2006/docPropsVTypes"/>
</file>