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TR.SIP621 </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ćwiczenia laboratoryjne 30 godz., konsultacje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w:t>
      </w:r>
    </w:p>
    <w:p>
      <w:pPr>
        <w:keepNext w:val="1"/>
        <w:spacing w:after="10"/>
      </w:pPr>
      <w:r>
        <w:rPr>
          <w:b/>
          <w:bCs/>
        </w:rPr>
        <w:t xml:space="preserve">Limit liczby studentów: </w:t>
      </w:r>
    </w:p>
    <w:p>
      <w:pPr>
        <w:spacing w:before="20" w:after="190"/>
      </w:pPr>
      <w:r>
        <w:rPr/>
        <w:t xml:space="preserve">do 10 osób na zespół</w:t>
      </w:r>
    </w:p>
    <w:p>
      <w:pPr>
        <w:keepNext w:val="1"/>
        <w:spacing w:after="10"/>
      </w:pPr>
      <w:r>
        <w:rPr>
          <w:b/>
          <w:bCs/>
        </w:rPr>
        <w:t xml:space="preserve">Cel przedmiotu: </w:t>
      </w:r>
    </w:p>
    <w:p>
      <w:pPr>
        <w:spacing w:before="20" w:after="190"/>
      </w:pPr>
      <w:r>
        <w:rPr/>
        <w:t xml:space="preserve">Zapoznać z metodami oceny stanu technicznego pojazdów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Zaliczenie na podstawie ocen cząstkowych uzyskanych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Seweryn Orzełowski: Budowa podwozi i nadwozi samochodowych. WSIP 2006r. ISBN: 8302087858
Praca zbiorowa (red. Z. Lozia): Diagnostyka samochodowa. Laboratorium. Oficyna Wydawnicza Politechniki Warszawskiej. Warszawa 2007. ISBN: 978-83-7207-632-8. 
Praca zbiorowa: Budowa pojazdów samochodowych cz. 1 i 2. Wydawnictwo REA, Warszawa, ISBN: cz.1. 83-7141-507-9, cz.2. 83-7141-454-4.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Tr1A_U01, Tr1A_U03, Tr1A_U06</w:t>
      </w:r>
    </w:p>
    <w:p>
      <w:pPr>
        <w:spacing w:before="20" w:after="190"/>
      </w:pPr>
      <w:r>
        <w:rPr>
          <w:b/>
          <w:bCs/>
        </w:rPr>
        <w:t xml:space="preserve">Powiązane efekty obszarowe: </w:t>
      </w:r>
      <w:r>
        <w:rPr/>
        <w:t xml:space="preserve">T1A_U01, T1A_U02, T1A_U03, T1A_U04, T1A_U05</w:t>
      </w:r>
    </w:p>
    <w:p>
      <w:pPr>
        <w:keepNext w:val="1"/>
        <w:spacing w:after="10"/>
      </w:pPr>
      <w:r>
        <w:rPr>
          <w:b/>
          <w:bCs/>
        </w:rPr>
        <w:t xml:space="preserve">Efekt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Tr1A_U03, Tr1A_U09, Tr1A_U17, Tr1A_U18</w:t>
      </w:r>
    </w:p>
    <w:p>
      <w:pPr>
        <w:spacing w:before="20" w:after="190"/>
      </w:pPr>
      <w:r>
        <w:rPr>
          <w:b/>
          <w:bCs/>
        </w:rPr>
        <w:t xml:space="preserve">Powiązane efekty obszarowe: </w:t>
      </w:r>
      <w:r>
        <w:rPr/>
        <w:t xml:space="preserve">T1A_U02, T1A_U03, T1A_U04, T1A_U07, T1A_U08, T1A_U11, InzA_U01, T1A_U13, InzA_U05, T1A_U13, InzA_U05</w:t>
      </w:r>
    </w:p>
    <w:p>
      <w:pPr>
        <w:keepNext w:val="1"/>
        <w:spacing w:after="10"/>
      </w:pPr>
      <w:r>
        <w:rPr>
          <w:b/>
          <w:bCs/>
        </w:rPr>
        <w:t xml:space="preserve">Efekt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Tr1A_U03, Tr1A_U09, Tr1A_U17, Tr1A_U18</w:t>
      </w:r>
    </w:p>
    <w:p>
      <w:pPr>
        <w:spacing w:before="20" w:after="190"/>
      </w:pPr>
      <w:r>
        <w:rPr>
          <w:b/>
          <w:bCs/>
        </w:rPr>
        <w:t xml:space="preserve">Powiązane efekty obszarowe: </w:t>
      </w:r>
      <w:r>
        <w:rPr/>
        <w:t xml:space="preserve">T1A_U02, T1A_U03, T1A_U04, T1A_U07, T1A_U08, T1A_U11, InzA_U01, T1A_U13, InzA_U05,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efekty kierunkowe: </w:t>
      </w:r>
      <w:r>
        <w:rPr/>
        <w:t xml:space="preserve">Tr1A_K03, Tr1A_K04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2026-09-27T21:23:09+02:00</dcterms:created>
  <dcterms:modified xsi:type="dcterms:W3CDTF">2026-09-27T21:23:09+02:00</dcterms:modified>
</cp:coreProperties>
</file>

<file path=docProps/custom.xml><?xml version="1.0" encoding="utf-8"?>
<Properties xmlns="http://schemas.openxmlformats.org/officeDocument/2006/custom-properties" xmlns:vt="http://schemas.openxmlformats.org/officeDocument/2006/docPropsVTypes"/>
</file>