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18
Studiowanie literatury 16
Konsultacje 1
Przygotowanie do kolokwiów 15
Razem 50 godz.
Punkty ECTS: 2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18
Konsultacje 1
Razem 19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Tr1A_U21, Tr1A_U20</w:t>
      </w:r>
    </w:p>
    <w:p>
      <w:pPr>
        <w:spacing w:before="20" w:after="190"/>
      </w:pPr>
      <w:r>
        <w:rPr>
          <w:b/>
          <w:bCs/>
        </w:rPr>
        <w:t xml:space="preserve">Powiązane efekty obszarowe: </w:t>
      </w:r>
      <w:r>
        <w:rPr/>
        <w:t xml:space="preserve">T1A_U15, InzA_U07, 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2026-10-19T20:01:19+02:00</dcterms:created>
  <dcterms:modified xsi:type="dcterms:W3CDTF">2026-10-19T20:01:19+02:00</dcterms:modified>
</cp:coreProperties>
</file>

<file path=docProps/custom.xml><?xml version="1.0" encoding="utf-8"?>
<Properties xmlns="http://schemas.openxmlformats.org/officeDocument/2006/custom-properties" xmlns:vt="http://schemas.openxmlformats.org/officeDocument/2006/docPropsVTypes"/>
</file>