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efekty kierunkowe: </w:t>
      </w:r>
      <w:r>
        <w:rPr/>
        <w:t xml:space="preserve">Tr2A_U17, Tr2A_U07, Tr2A_U06, Tr2A_U01</w:t>
      </w:r>
    </w:p>
    <w:p>
      <w:pPr>
        <w:spacing w:before="20" w:after="190"/>
      </w:pPr>
      <w:r>
        <w:rPr>
          <w:b/>
          <w:bCs/>
        </w:rPr>
        <w:t xml:space="preserve">Powiązane efekty obszarowe: </w:t>
      </w:r>
      <w:r>
        <w:rPr/>
        <w:t xml:space="preserve">T2A_U17, InzA_U06, T2A_U09, InzA_U02, 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2026-10-19T09:29:11+02:00</dcterms:created>
  <dcterms:modified xsi:type="dcterms:W3CDTF">2026-10-19T09:29:11+02:00</dcterms:modified>
</cp:coreProperties>
</file>

<file path=docProps/custom.xml><?xml version="1.0" encoding="utf-8"?>
<Properties xmlns="http://schemas.openxmlformats.org/officeDocument/2006/custom-properties" xmlns:vt="http://schemas.openxmlformats.org/officeDocument/2006/docPropsVTypes"/>
</file>