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inteligentne/ Intelligent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Kaszuwara, prof. PW;  dr hab. inż. Anna Boczkowska,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MATINT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pracy na zajęciach + 15 godzin pracy własnej (studia literaturowe)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Schwartz, Encyclopedia of Smart Materials, wyd. Wiley and Sons Inc., Nowy Jork 2002.
3. A. Boczkowska, Rola mikrostruktury w kształtowaniu właściwości inteligentnych kompozytów magnetoreologicznych, Oficyna Wydawnicza PW,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MM_W1: </w:t>
      </w:r>
    </w:p>
    <w:p>
      <w:pPr/>
      <w:r>
        <w:rPr/>
        <w:t xml:space="preserve">Posiada wiedzę z zakresu podstaw fizyki magnetyzmu. Zna podstawowe materiały magnetyczne i rozumie korelacje pomiedzy właściwościami magnetycznymi a budową fazową materiałów 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kolokwium: </w:t>
      </w:r>
    </w:p>
    <w:p>
      <w:pPr/>
      <w:r>
        <w:rPr/>
        <w:t xml:space="preserve">Posiada umiejętności kojarzenia zdobytej wcześniej wiedzy i zdolności do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MAT_INT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MAT_INT: </w:t>
      </w:r>
    </w:p>
    <w:p>
      <w:pPr/>
      <w:r>
        <w:rPr/>
        <w:t xml:space="preserve">Potrafi współdziałać w grupie, nawiązuje kontakty, wymienia poglądy nt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2026-09-27T12:30:46+02:00</dcterms:created>
  <dcterms:modified xsi:type="dcterms:W3CDTF">2026-09-27T12:30:46+02:00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