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4/ Mathematics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- 90,  obejmuje:
1) godziny kontaktowe – 55, w tym: obecność na wykładach – 30 godzin, udział w ćwiczeniach – 15 godzin, udział w konsultacjach do wykładu i ćwiczeń – 10 godzin;
2) przygotowanie się do ćwiczeń, kolokwiów, egzaminu –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wykłady (30 godzin), ćwiczenia (15 godzin), konsultacje do ćwiczeń i wykładów (10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pierwszego, drugiego i trzeciego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równań różniczkowych cząstkowych oraz rachunku tensorowego. Przygotowanie studentów do posługiwania tą wiedzą w zagadnieniach mechaniki ośrodków ciągłych. Przekazanie studentom wiedzy nt.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cząstkowe. Równania różniczkowe cząstkowe rzędu pierwszego. Rozwiązywanie równań różniczkowych cząstkowych rzędu pierwszego, liniowych i quasi-linowych za pomocą całek pierwszych układu równań charakterystyk. Rozwiązywanie równań różniczkowych cząstkowych rzędu drugiego, liniowych i prawie liniowych po sprowadzeniu ich do postaci kanonicznej. Rozwiązywanie równania różniczkowego przemieszczeń struny ograniczonej i równania rozkładu temperatury w pręcie ograniczonym metodą Fouriera. Rachunek tensorowy. Przestrzenie liniowe i euklidesowe. Iloczyn tensorowy przestrzeni euklidesowych. Przestrzenie tensorowe nad przestrzenią euklidesową. Tensory o walencji dwa. Rozkład widmowy i rozkład biegunowy tensora. Symetrie wewnętrzne i zewnętrzne tensorów. Funkcje sensorowe. Elementy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Mączyński, J. Muszyński, T. Traczyk, W. Żakowski, Matematyka, Podręcznik podstawowy dla WST, tom III, PWN. 
2. W. Leksiński, W. Żakowski, Matematyka, cz. IV, WNT. 
3. J. Ploch, Algebra i analiza tensorów, WPW. 
4. Y.C. Fung, Podstawy mechaniki ciała stałego, PWN; M.Cieciura. 
5. J. Zacharski: Metody probabilistyczne w ujęciu praktycznym, VIZJA PRESS&amp;T.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MAT4_W01: </w:t>
      </w:r>
    </w:p>
    <w:p>
      <w:pPr/>
      <w:r>
        <w:rPr/>
        <w:t xml:space="preserve">Posiada podstawową wiedzę z równań różniczkowych cząstkowych, z rachunku tensorowego,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MAT4_U01: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MAT4_K01: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2026-07-06T11:34:27+02:00</dcterms:created>
  <dcterms:modified xsi:type="dcterms:W3CDTF">2026-07-06T11:34:27+02:00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