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Studia stacjonarne: Łącznie 75 godzin, w tym 30 godzin wykładów, 15 godzin zajęć laboratoryjnych, 10 godzin studiów literaturowych, 10 godzin przygotowania do zajęć laboratoryjnych i 10 godzin przygotowania do egzaminu.
Studia niestacjonarne: Łącznie 75 godzin, w tym 20 godzin wykładów, 10 godzin zajęć laboratoryjnych, 25 godzin studiów literaturowych, 10 godzin przygotowania do zajęć laboratoryjnych i 10 godzin przygotowania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Studia stacjonarne: 1,8
Studia niestacjonarne: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(studia stacjonarne):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Wykład (studia niestacjonarne):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Hybrydowe sieci neuronowe. Sieci neuronowe SVM (Support Vector Machine).
Laboratorium (studia stacjonarne):
1. Wprowadzenie w środowisko Matlab. Wprowadzenie do Przybornika Globalnej Optymalizacji (Global Optimization Toolbox) i Przybornika Sieci Neuronowych (Neural Network Toolbox) środowiska Matlab.
2. Algorytmy genetyczne w zadaniach optymalizacji.
3. Optymalizacja z ograniczeniami z wykorzystaniem algorytmów genetycznych.
4. Optymalne wymiarowanie konstrukcji za pomocą algorytmu genetycznego.
5. Perceptrony wielowarstwowe w zadaniach klasyfikacji i aproksymacji.
6. Przetwarzanie sygnałów z wykorzystaniem sieci neuronowych.
Laboratorium (studia niestacjonarne):
1. Algorytmy genetyczne w zadaniach optymalizacji bez ograniczeń i z ograniczeniami.
2. Optymalne wymiarowanie konstrukcji za pomocą algorytmu genetycznego.
3. Perceptrony wielowarstwowe w zadaniach klasyfikacji i aproksymacji.
4. Przetwarzanie sygnałów z wykorzystaniem sieci neuronowych.
</w:t>
      </w:r>
    </w:p>
    <w:p>
      <w:pPr>
        <w:keepNext w:val="1"/>
        <w:spacing w:after="10"/>
      </w:pPr>
      <w:r>
        <w:rPr>
          <w:b/>
          <w:bCs/>
        </w:rPr>
        <w:t xml:space="preserve">Metody oceny: </w:t>
      </w:r>
    </w:p>
    <w:p>
      <w:pPr>
        <w:spacing w:before="20" w:after="190"/>
      </w:pPr>
      <w:r>
        <w:rPr/>
        <w:t xml:space="preserve">Ocena z egzaminu i ocena końcowa z laboratorium tworzą ocenę końcową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Sieci neuronowe do przetwarzania informacji. Oficyna Wydawnicza Politechniki Warszawskiej, Warszawa, 2006.
[2] W. Duch, J. Korbicz, L. Rutkowski, R. Tadeusiewicz /red./, Sieci neuronowe. Akademicka Oficyna Wydawnicza EXIT, Warszawa, 2000.
[3] S. Osowski, Sieci neuronowe w ujęciu algorytmicznym. Wydawnictwa Naukowo-Techniczne, Warszawa, 1996.
[4] S. Osowski, Sieci neuronowe. Oficyna Wydawnicza Politechniki Warszawskiej, Warszawa, 1994.
[5] R. Tadeusiewicz, Sieci neuronowe. Akademicka Oficyna Wydawnicza RM, Warszawa, 1993. http://winntbg.bg.agh.edu.pl/skrypty/0001/
[6] J. Arabas, Wykłady z algorytmów genetycznych. Wydawnictwa Naukowo-Techniczne, Warszawa, 2004.
[7] Z. Michalewicz, Algorytmy genetyczne + struktury danych = programy ewolucyjne. Wydawnictwa Naukowo-Techniczne, Warszawa, 1996.
[8] D. Rutkowska, M. Piliński, L. Rutkowski, Sieci neuronowe, algorytmy genetyczne i systemy rozmyte. Wydawnictwo Naukowe PWN, Warszawa-Łódź, 1997.
[9] L. Rutkowski, Metody i techniki sztucznej inteligencji. Wydawnictwo Naukowe PWN, Warszawa,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2026-09-09T15:41:19+02:00</dcterms:created>
  <dcterms:modified xsi:type="dcterms:W3CDTF">2026-09-09T15:41:19+02:00</dcterms:modified>
</cp:coreProperties>
</file>

<file path=docProps/custom.xml><?xml version="1.0" encoding="utf-8"?>
<Properties xmlns="http://schemas.openxmlformats.org/officeDocument/2006/custom-properties" xmlns:vt="http://schemas.openxmlformats.org/officeDocument/2006/docPropsVTypes"/>
</file>