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Obecnośc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BUDPRA2W1: </w:t>
      </w:r>
    </w:p>
    <w:p>
      <w:pPr/>
      <w:r>
        <w:rPr/>
        <w:t xml:space="preserve">																								praktyczne informacje nt. prowadzenia infrastrukturalnych projektów budowlanych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BUDPRA2U1: </w:t>
      </w:r>
    </w:p>
    <w:p>
      <w:pPr/>
      <w:r>
        <w:rPr/>
        <w:t xml:space="preserve">																									praktyczne informacje nt. prowadzenia infrastrukturalnych projektów budowlanych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BUDPRA2K1: </w:t>
      </w:r>
    </w:p>
    <w:p>
      <w:pPr/>
      <w:r>
        <w:rPr/>
        <w:t xml:space="preserve">																		praktyczne informacje nt. prowadzenia infrastrukturalnych projektów budowlanych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2026-09-04T22:24:20+02:00</dcterms:created>
  <dcterms:modified xsi:type="dcterms:W3CDTF">2026-09-04T22:24:20+02:00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