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w:t>
      </w:r>
    </w:p>
    <w:p>
      <w:pPr>
        <w:keepNext w:val="1"/>
        <w:spacing w:after="10"/>
      </w:pPr>
      <w:r>
        <w:rPr>
          <w:b/>
          <w:bCs/>
        </w:rPr>
        <w:t xml:space="preserve">Koordynator przedmiotu: </w:t>
      </w:r>
    </w:p>
    <w:p>
      <w:pPr>
        <w:spacing w:before="20" w:after="190"/>
      </w:pPr>
      <w:r>
        <w:rPr/>
        <w:t xml:space="preserve">prof. /dr hab./ inż./ Barbara Pacewska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- 30h, przygotowanie do egzaminu - 45h; Razem - 75h; Laboratoria: liczba godzin według planu studiów - 75, przygotowanie do zajęć - 15, zapoznanie ze wskazaną literaturą - 15, napisanie sprawozadania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- 75; Razem - 105h = 4,2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właściwości samych pierwiastków chemicznych bloków sp i spd oraz ich związków.
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(W1-W15) Właściwości wybranych pierwiastków głównych i ich związków chemicznych ze szczególnym uwzględnieniem połączeń tlenowych. Właściwości chemiczne wybranych pierwiastków dodatkowych i ich związków chemicznych ze szczególnym uwzględnieniem połączeń tlenowych.  
(L1)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Na ocenę końcową składa się ocena z egzaminu pisemnego  oraz ocena z ćwiczeń laboratoryjnych. 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egzamin pisemny (W1-W15), 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Posiada wiedzę w zakresie właściwości fizykochemicznych podstawowych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w zakresie niektórych zastosowań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typowe metody otrzymywania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U14_01: </w:t>
      </w:r>
    </w:p>
    <w:p>
      <w:pPr/>
      <w:r>
        <w:rPr/>
        <w:t xml:space="preserve">Potrafi podać właściwości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2026-09-28T09:27:39+02:00</dcterms:created>
  <dcterms:modified xsi:type="dcterms:W3CDTF">2026-09-28T09:27:39+02:00</dcterms:modified>
</cp:coreProperties>
</file>

<file path=docProps/custom.xml><?xml version="1.0" encoding="utf-8"?>
<Properties xmlns="http://schemas.openxmlformats.org/officeDocument/2006/custom-properties" xmlns:vt="http://schemas.openxmlformats.org/officeDocument/2006/docPropsVTypes"/>
</file>