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Projekt 15h;
Przygotowanie do kolokwium 20h;
Opracowanie projektu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 min.15; 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Kolokwium Nr 2 (W4, W5, W6, W7)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Potrafi ocenić koszty realizacji przedsięwzięcia budowlanego w skali czasu i ryzyko tej oceny (analiza w programach komputerowych).  </w:t>
      </w:r>
    </w:p>
    <w:p>
      <w:pPr>
        <w:spacing w:before="60"/>
      </w:pPr>
      <w:r>
        <w:rPr/>
        <w:t xml:space="preserve">Weryfikacja: </w:t>
      </w:r>
    </w:p>
    <w:p>
      <w:pPr>
        <w:spacing w:before="20" w:after="190"/>
      </w:pPr>
      <w:r>
        <w:rPr/>
        <w:t xml:space="preserve">Projekt (P2), Kolokwium nr 2 (W6)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2026-09-29T04:10:24+02:00</dcterms:created>
  <dcterms:modified xsi:type="dcterms:W3CDTF">2026-09-29T04:10:24+02:00</dcterms:modified>
</cp:coreProperties>
</file>

<file path=docProps/custom.xml><?xml version="1.0" encoding="utf-8"?>
<Properties xmlns="http://schemas.openxmlformats.org/officeDocument/2006/custom-properties" xmlns:vt="http://schemas.openxmlformats.org/officeDocument/2006/docPropsVTypes"/>
</file>