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wykładów, 30 h ćwiczeń projektowych + 5 h konsultacje + 25 h praca własna studenta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wykłady + 30 h ćwiczeń  + 5h konsultacji=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 + 25 h praca własna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Gospodarka niskoemisyjna w budownictwie • Diagnozowanie energochłonności budynków istniejących - audyt energetyczny, - świadectwo energetyczne, - termowizja • Termomodernizacja budynków istniejących (stan prawny) • Zasady projektowania ocieplenia przegród zewnętrznych w budynku istniejącym • Alternatywne źródła energii wykorzystywane w bilansie energetycznym budynku - pompa ciepła, - kolektory słoneczne, - kotły na paliwa odnawialne, - biogaz, gaz wysypiskowy, - wiatraki i małe elektrownie wodne • Izolacje transparentne i próżniowe • Budynki zeroenegetyczne, budynki dodatnio energetyczne. Zjawisko niskiej emisji ze spalania paliw w budynkach - metody jej ograniczania• Technologie głębokiej termomodernizacji.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FIBU2IZW1: </w:t>
      </w:r>
    </w:p>
    <w:p>
      <w:pPr/>
      <w:r>
        <w:rPr/>
        <w:t xml:space="preserve">Celem przedmiotu jest przekazania studentowi wiedzy z zakresu oceny energochłonności budynków, termomodernizacji oraz projektowania przegród zewnętrznych budynku według kryterium maksimum izolacyjności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K2_W09, K2_W11_IZRwB, K2_W12_IZRwB, K2_W13_IZRwB, K2_W15_IZRwB, K2_W17_IZRwB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T2A_W10, T2A_W01, T2A_W06, T2A_W07, T2A_W02,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FIBU2IZU1: </w:t>
      </w:r>
    </w:p>
    <w:p>
      <w:pPr/>
      <w:r>
        <w:rPr/>
        <w:t xml:space="preserve">Student nabywa umiejętności oceny parametrów energetycznych budynków, poznaje sposoby i metody poprawy ich charakterystyki energetycznej oraz wykonywania audytu  energetycznego,  projektu termomodernizacji i świadectwa energetycznego. Poznaje treść podstawowych aktów prawnych dotyczących oszczędności energii w budownictwie i alternatywnych źródeł jej pozyskiwania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FIBU2IZK1: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2026-10-19T08:41:06+02:00</dcterms:created>
  <dcterms:modified xsi:type="dcterms:W3CDTF">2026-10-19T08:41:06+02:00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