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  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godz.=3 ECTS: wykład 30, laboratorium 30, przygotowanie do zajęć laboratoryjnych 15, zapoznanie z literaturą 5, przygotowanie sprawozdania z laboratoriów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godz.=2 ECTS: wykład 30, laboratorium 30,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godz.=1 ECTS: obecność w laboratorium 30, przygotowanie do zajęć laboratoryjnych 15, przygotowanie sprawozdania z laboratoriów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2003.&lt;br&gt;
[2] Piłat J., Radziszewski P., Nawierzchnie asfaltowe. WKiŁ, Warszawa 2010.&lt;br&gt;
[3] Gaweł I., M. Kalabińska, Piłat J.,Asfalty drogowe. WKiŁ, Warszawa 2001.&lt;br&gt;
[4] Roberts F. L., Kandhal P. S., Brown E. R., Lee D. and Kennedy T. W., Hot Mix Asphalt Materials, Mixture Design, and Construction, 2nd ed.., NAPA Education Foundation, Lanham, Maryland, 1996.&lt;br&gt;
[5] The Asphalt Handbook, Asphalt Institute, USA, manual series no. 4 (MS-4), 7th edition, 2007. &lt;br&gt;
[6] Usmani A. M., Asphalt Science and Technology, New York, 1997.  &lt;br&gt;
[7] Read J. and Whiteoak D., The Shell Bitumen Handbook, 5th edition, 2003.&lt;br&gt;</w:t>
      </w:r>
    </w:p>
    <w:p>
      <w:pPr>
        <w:keepNext w:val="1"/>
        <w:spacing w:after="10"/>
      </w:pPr>
      <w:r>
        <w:rPr>
          <w:b/>
          <w:bCs/>
        </w:rPr>
        <w:t xml:space="preserve">Witryna www przedmiotu: </w:t>
      </w:r>
    </w:p>
    <w:p>
      <w:pPr>
        <w:spacing w:before="20" w:after="190"/>
      </w:pPr>
      <w:r>
        <w:rPr/>
        <w:t xml:space="preserve">http.//www.il.pw.edu.pl/p.radziszewski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2026-10-19T09:42:57+02:00</dcterms:created>
  <dcterms:modified xsi:type="dcterms:W3CDTF">2026-10-19T09:42:57+02:00</dcterms:modified>
</cp:coreProperties>
</file>

<file path=docProps/custom.xml><?xml version="1.0" encoding="utf-8"?>
<Properties xmlns="http://schemas.openxmlformats.org/officeDocument/2006/custom-properties" xmlns:vt="http://schemas.openxmlformats.org/officeDocument/2006/docPropsVTypes"/>
</file>