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Mostów, Zespół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INFWEKO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30 godz., konsultacje i weryfikacja projektów 15 godz., samodzielne wykonywanie projektów 40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projektowe 30 godz., konsultacje i weryfikacja projektów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projektowe 30 godz., konsultacje i weryfikacja projektów 15 godz., samodzielne wykonywanie projektów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budowlach ziemnych oraz ruchu kolejowym. Wiadomości ogólne z urbanistyki i ekonomii transportu i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Umiejętność analizy wariantowej i modelowania obsługi rynku przewozów transportu szynowego w systemach intermodalnych.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
Krótki rys historyczny gospodarczego rozwoju regionalnego i systemów transportowych. &lt;li&gt;Rola i funkcje obsługi rynku transportu towarowego i osobowego przez złożone systemy transportu szynowego, samochodowego, wodnego i powietrznego). &lt;li&gt;Struktury funkcjonalno techniczne układów i węzłów kolejowych. &lt;li&gt;Modułowe określenie układów węzłów i stacji dróg szynowych. 
&lt;li&gt; Intermodalne systemy obsługi przewozów towarowych &lt;li&gt;Rodzaje urządzeń eksploatacji technicznej kolei.
&lt;li&gt;Terminale drogowo kolejowe w układach dróg szynowych. Terminale portowe i portów lotniczych. &lt;li&gt;Struktury funkcjonalno techniczne węzłów komunikacyjnych transportów wielorodzajowych. Centra logistyczne &lt;li&gt;Urządzenia bezpieczeństwa użytkowania.&lt;/ol&gt;
Ćwiczenia
Obejmują sporządzenie założeń technicznych terminalu lub punktu logistycznego zadanego typu.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
Gradkowski K., Infrastruktura węzłów kolejowych. OW-PW, Warszawa 2013r.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INFWEKOW1: </w:t>
      </w:r>
    </w:p>
    <w:p>
      <w:pPr/>
      <w:r>
        <w:rPr/>
        <w:t xml:space="preserve">Posiada wiedzę w zakresie makrostruktury komunikacji kolejowej i podstawowych urządzeń stałych w dużych aglomeracjach oraz znajomość intermodalnych systemów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INFWEKOU1: </w:t>
      </w:r>
    </w:p>
    <w:p>
      <w:pPr/>
      <w:r>
        <w:rPr/>
        <w:t xml:space="preserve">posiada umiejętność anlizy i tworzenia struktur budowli transportu szynowego do obsługi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INFWEKOK1: </w:t>
      </w:r>
    </w:p>
    <w:p>
      <w:pPr/>
      <w:r>
        <w:rPr/>
        <w:t xml:space="preserve">jest kompetentny w zakresie przystosowania planów rozbudowy wezłów komunikacyjnych dróg szynowych do potrzeb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2026-07-04T15:14:53+02:00</dcterms:created>
  <dcterms:modified xsi:type="dcterms:W3CDTF">2026-07-04T15:14:53+02:00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