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Plastyczność w geotechnice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hab.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PLwGEO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i ćwiczeniach 30 godz, studiowanie zalecanej literatury 4 godz, samodzielne wykonanie zadań praktycznych 5 godz, przygotowanie do zaliczenia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 = 1 ECTS udział w wykładach i ćwiczeniach.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ECTS; 15 godz pracy na ćwiczeniach, samodzielne wykonanie zadań praktycznych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Zrealizowane przedmioty: algebra i analiza matematyczna, mechanika teoretyczna, wytrzymałość materiałów, mechanika konstrukcji, mechanika gruntów i fundamentowanie, teoria sprężystości i plastyczności,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hipotez wytrzymałościowych stosowanych w mechanice gruntów i skał. Umiejętność świadomego wykorzystania oprogramowania MES w zakresie niesprężystej pracy podłoża gruntowego i konstrukcji geotechnicznych.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Notacja macierzowa i tensorowa. Klasyczne hipotezy wytrzymałościowe materiałów izotropowych: Coulomba-Treski i Hubera-Misesa-Hencky’ego. Hipotezy wytężeniowe materiałów geotechnicznych: Coulomba-Mohra i Druckera-Pragera. Teoria plastycznego płynięcia. Modele wzmocnienia izotropowego i kinematycznego. Modyfikowany i uogólniony model gruntu Cam-Clay. Identyfikacja doświadczalna parametrów modeli konstytutywnych. Badania laboratoryjne w aparacie trójosiowym (z drenażem i bez drenażu). Zastosowanie MES w wybranych zagadnieniach mechaniki gruntów: stateczność nasypów drogowych, nośność graniczna fundamentów, symulacje numeryczne zachowania się podłoża gruntowego przy obciążeniach dynamicznych.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Egzamin.&lt;br&gt;
Wykonanie zespołowej pracy projektowej z wykorzystaniem programu Abaqus, ANSYS lub Plaxis.&lt;br&gt;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Davis R.O., Selvadurai A.P.S.: Plasticity and Geomechanics, Cambridge Univ. Press 2002;&lt;br&gt;
[2] Khan A.S., Huang S.: Continuum Theory of Plasticity. J.Wiley&amp;Sons, 1995;&lt;br&gt;
[3] Kisiel I. [red.]: Mechanika skał i gruntów. Mechanika techniczna t. 7, PWN, Warszawa 1982;&lt;br&gt;
[4] Olszak W., Perzyna P., Sawczuk A. [red.]: Teoria plastyczności. PWN, Warszawa 1965;&lt;br&gt;
[5] Wiłun Z.: Zarys geotechniki. Wyd. 8, WKŁ,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PLwGEOW1: </w:t>
      </w:r>
    </w:p>
    <w:p>
      <w:pPr/>
      <w:r>
        <w:rPr/>
        <w:t xml:space="preserve">Ma wiedzę na temat modelowania nawierzchni.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PLwGEOU1: </w:t>
      </w:r>
    </w:p>
    <w:p>
      <w:pPr/>
      <w:r>
        <w:rPr/>
        <w:t xml:space="preserve">Wybór właściwego modelu do sytuaji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PLwGEOK1: </w:t>
      </w:r>
    </w:p>
    <w:p>
      <w:pPr/>
      <w:r>
        <w:rPr/>
        <w:t xml:space="preserve">Ma świadomość do kontynuacji edukacji w
temacie.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2026-09-28T20:55:36+02:00</dcterms:created>
  <dcterms:modified xsi:type="dcterms:W3CDTF">2026-09-28T20:55:36+02:00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