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NIEZAW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ćwiczenia laboratoryjne 30 godz.,
konsultacje 5 godz., zapoznanie się z literaturą 5 godz., prace domowe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
ćwiczenia w pracowni komputerowej 30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praca samodzielna na ćwiczeniach 15 godz., prace domowe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&lt;br&gt;Podstawowy aparat pojęciowy z dziedziny niezawodności konstrukcji (stany graniczne, miary niezawodności). &lt;br&gt;Podstawowe metody analizy konstrukcji z punktu widzenia ryzyka awarii. &lt;br&gt;Zasady probabilistycznego modelowania efektów obciążeń i ich kombinacji. &lt;br&gt;Zasady probabilistycznego modelowania nośności elementów konstrukcyjnych. &lt;br&gt;Zasady analizy ryzyka awarii układów konstrukcyjnych.&lt;br&gt; Zasady opracowywania i aktualizowania norm obciążeń i norm projektowania. &lt;br&gt;Błędy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zajęciach.&lt;br&gt; 2. Dwa sprawdziany pisemne. &lt;br&gt;Warunki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&lt;br&gt;Literatura uzupełniająca: &lt;br&gt;
[1] Nowak, A.S., Collins, K.R., “Reliability of Structure”s, McGraw-Hill, New York, 2000; &lt;br&gt;
[2] Cruse, T. A., “Reliability-based mechanical design”, Marcel Dekker, Inc., New York, 1997; &lt;br&gt;
[3] Thoft-Christensen, P., Baker, M.J., “Structural Reliability Theory and Its Applications”, Springer-Verlag, New York, 1982; &lt;br&gt;
[4] Biegus, A., “Probabilistyczna analiza konstrukcji stalowych”, PWN, Warszawa-Wrocław, 1999; &lt;br&gt;
[5] Murzewski, J., “Niezawodność konstrukcji inżynierskich”, Arkady, Warszawa, 1989;&lt;br&gt;
[6] Benjamin, J.R., Cornell, C.A., „Rachunek prawdopodobieństwa, statystyka matematyczna, teoria decyzji dla inżynierów”, WNT, Warszawa, 1977; &lt;br&gt;
[7] Fisz, M., „Rachunek prawdopodobieństwa i statystyka matematyczna”, PWN, Warszawa, 1969; &lt;br&gt;
[8] Zieliński, M. „Metody Monte Carlo”, WNT, Warszawa, 1970; &lt;br&gt;
[9] PN-ISO 2394, „Ogólne zasady niezawodności konstrukcji”, PKN, Warszawa, 2000; &lt;br&gt;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server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NIEZAW_W01: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NIEZAW_W03: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NIEZAW_W05: </w:t>
      </w:r>
    </w:p>
    <w:p>
      <w:pPr/>
      <w:r>
        <w:rPr/>
        <w:t xml:space="preserve">Zna zasady probabilistycznego modelowania nośności elementów konstrukcyjnych i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NIEZAW_W06: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NIEZAW_U01: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NIEZAW_U03: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NIEZAW_K01: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NIEZAW_K03: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2026-09-04T18:00:40+02:00</dcterms:created>
  <dcterms:modified xsi:type="dcterms:W3CDTF">2026-09-04T18:00:40+02:00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