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w budownictwie komunikacyjnym (DS, IK)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Radziszewski, prof. dr hab. inż.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MATBUKO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15 godz., laboratorium 15 godz.; przygotowanie do zajęć laboratoryjnych 15 godz.; zapoznanie z literaturą 10 godz.; przygotowanie do zaliczenia, udział w konsultacjach, obecność na zaliczeniu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35 godz. =1.5 ECTS: wykład 15 godz., ćwiczenia laboratoryjne 15 godz., konsultacje i obrona projektu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47 godz. = 2 ECTS: obecność w laboratorium 15 godz.; przygotowanie do laboratorium napisanie sprawozdania, weryfikacja 15 godz.; przygotowanie do zaliczenia, udział w konsultacjach 17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technologii materiałów budowlanych. Znajomość podstaw technologii budownictwa komunikacyjnego.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Poszerzenie zakresu wiedzy na temat: kruszyw, materiałów wiążących oraz kompozytów stosowanych w budownictwie drogowym, kolejowym i lotniskowym. Umiejętność doboru składu mieszanek związanych i niezwiązanych stosowanych do wzmacniania podłoża oraz podbudów drogowych, kolejowych i lotniskowych.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Kruszywa i materiały wiążące stosowane w budownictwie komunikacyjnym: rodzaje, technologia produkcji właściwości. Podłoża gruntowe pod nawierzchnie drogowe, kolejowe i lotniskowe. Podbudowy nawierzchni komunikacyjnych z mieszanek związanych i niezwiązanych. Dobór składu, właściwości, technologia wykonania warstwy. &lt;br&gt;Ćwiczenia laboratoryjne z zakresu badania materiałów, doboru składów, oceny właściwości mieszanek związanych i niezwiązanych.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i ustna obrona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Kalabińska M., Piłat J., Radziszewski P.,  Technologia materiałów i nawierzchni drogowych. Wyd. OW PW, Warszawa 2003.&lt;br&gt;
[2] Piłat J., Radziszewski P., Nawierzchnie asfaltowe. WKiŁ, Warszawa 2007.&lt;br&gt;
[3] Gaweł, M. Kalabińska, J. Piłat,  Asfalty drogowe. WKiŁ, Warszawa 2001.&lt;br&gt;
[4]  Szajer R.,  Drogi żelazne. PWN, Warszawa 1970.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http://www.ztmind.il.pw.edu.pl/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MATBUKOW1: </w:t>
      </w:r>
    </w:p>
    <w:p>
      <w:pPr/>
      <w:r>
        <w:rPr/>
        <w:t xml:space="preserve">							Ma wiedzę z zakresu kruszyw, materiałów wiążących oraz kompozytów stosowanych w budownictwie komunikacyjnym.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i ustna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K2_W16_IK, K2_W21_IK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T2A_W04, T2A_W05, T2A_W08</w:t>
      </w:r>
    </w:p>
    <w:p>
      <w:pPr>
        <w:keepNext w:val="1"/>
        <w:spacing w:after="10"/>
      </w:pPr>
      <w:r>
        <w:rPr>
          <w:b/>
          <w:bCs/>
        </w:rPr>
        <w:t xml:space="preserve">Efekt MATBUKOW2: </w:t>
      </w:r>
    </w:p>
    <w:p>
      <w:pPr/>
      <w:r>
        <w:rPr/>
        <w:t xml:space="preserve">							Ma wiedzę z zakresu projektowania i wykonywania ulepszonych podłoży i podbudów konstrukcji nawierzchni budowli komunikacyjnych.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i ustna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K2_W16_IK, K2_W17_IK, K2_W21_IK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T2A_W03, T2A_W04, T2A_W06, T2A_W09, T2A_W04, T2A_W05,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MATBUKOU1: </w:t>
      </w:r>
    </w:p>
    <w:p>
      <w:pPr/>
      <w:r>
        <w:rPr/>
        <w:t xml:space="preserve">Potrafi zaprojektować skład mieszanek związanych i niezwiązanych do warstw podłoza ulepszonego i warstw podbudowy.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sprawozdania z badań laboratoryjnych i wykonanego projektu mieszanki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K2_U13_IK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T2A_U07, T2A_U08, T2A_U09, T2A_U11</w:t>
      </w:r>
    </w:p>
    <w:p>
      <w:pPr>
        <w:keepNext w:val="1"/>
        <w:spacing w:after="10"/>
      </w:pPr>
      <w:r>
        <w:rPr>
          <w:b/>
          <w:bCs/>
        </w:rPr>
        <w:t xml:space="preserve">Efekt MATBUKOU2: </w:t>
      </w:r>
    </w:p>
    <w:p>
      <w:pPr/>
      <w:r>
        <w:rPr/>
        <w:t xml:space="preserve">Potrafi wdrożyć opracowaną technologię budowy dolnych warstw konstrukcyjnych nawierzchni budowli 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technologii budowy warstw podbudowy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K2_U15_IK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T2A_U11, T2A_U13,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MATBUKOK1: </w:t>
      </w:r>
    </w:p>
    <w:p>
      <w:pPr/>
      <w:r>
        <w:rPr/>
        <w:t xml:space="preserve">Potrafi pracować indywidualnie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2026-03-25T05:29:53+01:00</dcterms:created>
  <dcterms:modified xsi:type="dcterms:W3CDTF">2026-03-25T05:29:53+01:00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