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2</w:t>
      </w:r>
    </w:p>
    <w:p>
      <w:pPr>
        <w:keepNext w:val="1"/>
        <w:spacing w:after="10"/>
      </w:pPr>
      <w:r>
        <w:rPr>
          <w:b/>
          <w:bCs/>
        </w:rPr>
        <w:t xml:space="preserve">Koordynator przedmiotu: </w:t>
      </w:r>
    </w:p>
    <w:p>
      <w:pPr>
        <w:spacing w:before="20" w:after="190"/>
      </w:pPr>
      <w:r>
        <w:rPr/>
        <w:t xml:space="preserve">mgr Lucyna Skwarko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JEZO2</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36h (zajęcia ćwiczeniowe) + 64h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36h (zajęcia ćwiczeniowe) = 36h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 
36h (zajęcia ćwiczeniowe) + 64h (praca własna) = 100h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540h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są mu znane bądź go interesują. Potrafi opisywać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karty przedmiotów dla poszczególnych modułów nauczania języka obcego są na stronie www.sjo.pw.edu.pl</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do nauki języków obcych +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Czas trwania przygotowania do osiągnięcia kompetencji na poziomie B2 zależy od poziomu wejściowego, A2 lub B1 lub B2. Po zdaniu egzaminu na poziomie B2, jeśli student dysponuje jeszcze godzinami na naukę języków obcych, wybiera zajęcia z oferty SJO Lektoratów Tematycznych i innych języków.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JEZO2_U01: </w:t>
      </w:r>
    </w:p>
    <w:p>
      <w:pPr/>
      <w:r>
        <w:rPr/>
        <w:t xml:space="preserve">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krótkie prace kontrolne, wypowiedzi ustne, prezentacja ustna, prace domowe, prace pisemne, testy modułowe</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JEZO2_K01: </w:t>
      </w:r>
    </w:p>
    <w:p>
      <w:pPr/>
      <w:r>
        <w:rPr/>
        <w:t xml:space="preserve">							potrafi działać i współpracować w grupie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2026-10-01T08:18:27+02:00</dcterms:created>
  <dcterms:modified xsi:type="dcterms:W3CDTF">2026-10-01T08:18:27+02:00</dcterms:modified>
</cp:coreProperties>
</file>

<file path=docProps/custom.xml><?xml version="1.0" encoding="utf-8"?>
<Properties xmlns="http://schemas.openxmlformats.org/officeDocument/2006/custom-properties" xmlns:vt="http://schemas.openxmlformats.org/officeDocument/2006/docPropsVTypes"/>
</file>