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10h (wykład) + 18h (laboratorium) + 1h (kons. grupowe) + 1h (kons. indywidualne) + 3x10h (przygotowanie do kolowium z edytora tekstów oraz arkusza kalkulacyjnego) + 2x9h (opracowanie projektów: prezentacja oraz serwis www) + 22h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(laboratorium)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(laboratorium) + 3x10h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	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									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k_U04, k_U21</w:t>
      </w:r>
    </w:p>
    <w:p>
      <w:pPr>
        <w:spacing w:before="20" w:after="190"/>
      </w:pPr>
      <w:r>
        <w:rPr>
          <w:b/>
          <w:bCs/>
        </w:rPr>
        <w:t xml:space="preserve">Powiązane efekty obszarowe: </w:t>
      </w:r>
      <w:r>
        <w:rPr/>
        <w:t xml:space="preserve">S1A_U05, S1A_U05</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2026-10-02T20:20:59+02:00</dcterms:created>
  <dcterms:modified xsi:type="dcterms:W3CDTF">2026-10-02T20:20:59+02:00</dcterms:modified>
</cp:coreProperties>
</file>

<file path=docProps/custom.xml><?xml version="1.0" encoding="utf-8"?>
<Properties xmlns="http://schemas.openxmlformats.org/officeDocument/2006/custom-properties" xmlns:vt="http://schemas.openxmlformats.org/officeDocument/2006/docPropsVTypes"/>
</file>