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 </w:t>
      </w:r>
    </w:p>
    <w:p>
      <w:pPr>
        <w:spacing w:before="20" w:after="190"/>
      </w:pPr>
      <w:r>
        <w:rPr>
          <w:b/>
          <w:bCs/>
        </w:rPr>
        <w:t xml:space="preserve">Powiązane efekty kierunkowe: </w:t>
      </w:r>
      <w:r>
        <w:rPr/>
        <w:t xml:space="preserve">IS_U22, IS_U21</w:t>
      </w:r>
    </w:p>
    <w:p>
      <w:pPr>
        <w:spacing w:before="20" w:after="190"/>
      </w:pPr>
      <w:r>
        <w:rPr>
          <w:b/>
          <w:bCs/>
        </w:rPr>
        <w:t xml:space="preserve">Powiązane efekty obszarowe: </w:t>
      </w:r>
      <w:r>
        <w:rPr/>
        <w:t xml:space="preserve">T2A_U06, T2A_U07, T2A_U08, T2A_U09, T2A_U10, T2A_U02, T2A_U03, T2A_U06, T2A_U07, T2A_U04</w:t>
      </w:r>
    </w:p>
    <w:p>
      <w:pPr>
        <w:keepNext w:val="1"/>
        <w:spacing w:after="10"/>
      </w:pPr>
      <w:r>
        <w:rPr>
          <w:b/>
          <w:bCs/>
        </w:rPr>
        <w:t xml:space="preserve">Efekt U02: </w:t>
      </w:r>
    </w:p>
    <w:p>
      <w:pPr/>
      <w:r>
        <w:rPr/>
        <w:t xml:space="preserve">Posiada umiejętności samodzielnego planowania, realizacji i interpretacji badań ekotoksykologicznych umożliwiających ocenę zagrożenia środowiska związanego z gospodarką odpadami. </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również w dziedzinie toksyczności odpadów. </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p>
      <w:pPr>
        <w:keepNext w:val="1"/>
        <w:spacing w:after="10"/>
      </w:pPr>
      <w:r>
        <w:rPr>
          <w:b/>
          <w:bCs/>
        </w:rPr>
        <w:t xml:space="preserve">Efekt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2026-03-19T14:12:55+01:00</dcterms:created>
  <dcterms:modified xsi:type="dcterms:W3CDTF">2026-03-19T14:12:55+01:00</dcterms:modified>
</cp:coreProperties>
</file>

<file path=docProps/custom.xml><?xml version="1.0" encoding="utf-8"?>
<Properties xmlns="http://schemas.openxmlformats.org/officeDocument/2006/custom-properties" xmlns:vt="http://schemas.openxmlformats.org/officeDocument/2006/docPropsVTypes"/>
</file>