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- 15 godzin, opracowanie zadań dotyczacych wydania decyzji o warunkach zabudowy lub decyzji o lokalizacji inwestycji celu publicznego związanych z gospodarką odpadami - 20,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na poziomie gminnym(w tym  miejscowych planów zagospodarowania przestrzennego wraz z prognozą) i przygotowania wniosku o wydanie decyzji o warunkach zabudowy lub decyzji o lokalizacji inwestycji celu publicznego związanych z gospodarką odpadami</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Wybrane problemy kształtowania przestrzeni miast i wsi (struktura funkcjonalno przestrzenna miast, elementy składowe krajobrazu wsi, zarys zasad kształtowania przestrzeni miasta i wsi)   
Proces planowania na poziomie gminnym ze szczególnym uwzględnieniem zabezpieczenia terenu pod instalacje do odzysku i unieszkodliwiania odpadów (metody diagnozowania stanu środowiska i stanu zagospodarowania terenu,  standardy środowiskowe i urbanistyczne, dokumentacja prac planistycznych, technika graficznego i tekstowego zapisu ustaleń planistycznych w studiach uwarunkowań i kierunków zagospodarowania przestrzennego gminy i miejscowych planach zagospodarowania przestrzennego)
Procedura korzystania z przestrzeni powiązana z wyborem miejsca lokalizacji instalacji do odzysku i unieszkodliwiania odpadów (skutki prawne miejscowych planów zagospodarowania przestrzennego, decyzja o warunkach zabudowy i zagospodarowania przestrzennego, decyzja o lokalizacji inwestycji celu publicznego, ograniczenia w korzystaniu z przestrzeni, obszary szczególnego przeznaczenia, konflikty przestrzenne, ). </w:t>
      </w:r>
    </w:p>
    <w:p>
      <w:pPr>
        <w:keepNext w:val="1"/>
        <w:spacing w:after="10"/>
      </w:pPr>
      <w:r>
        <w:rPr>
          <w:b/>
          <w:bCs/>
        </w:rPr>
        <w:t xml:space="preserve">Metody oceny: </w:t>
      </w:r>
    </w:p>
    <w:p>
      <w:pPr>
        <w:spacing w:before="20" w:after="190"/>
      </w:pPr>
      <w:r>
        <w:rPr/>
        <w:t xml:space="preserve">zaliczenie ćwiczeń (Obecność na zajęciach, wykonanie zadan realizowanych na cwiczeniach,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(tekst jednolity Dz. U. 2013, poz.1232 z późn. zm.)
Ustawa z dnia 7 lipca 1994 r. Prawo budowlane (tekst jednolity Dz.U. 2013, poz 1409 z pózn. zm.)
Ustawa o odpadach z dnia 14 grudnia 2012 r. (Dz.U. 2013, poz. 21 z pózn. zm)
Ustawa Prawo wodne z dnia 18 lipca 2001 r. (tekst jednolity Dz. U. 2012, poz 145  z poźn. zm.)
Ustawa z dnia 16 kwietnia 2004 r. o ochronie przyrody (tekst jednolity Dz. U. 2014, poz. 627 z pózn. zm)
Ustawa z dnia 23 lipca 2003 r. o ochronie zabytków i opiece nad zabytkami (Dz. U. 2003.162.1568 z pózn. zm.)
Ustawa o gospodarce nieruchomościami z dnia 21 sierpnia 1997 r. (Dz. U. 2014poz. 423 z pózn. zm.
Rozporządzenie Ministra Środowiska z dnia 9 września 2002 r. w sprawie opracowań ekofizjograficznych (Dz. U. 2002.155.1298).
Rozporządzenie Ministra Infrastruktury z dnia 26 sierpnia 2003 r. w sprawie wymaganego zakresu projektu miejscowego planu zagospodarowania przestrzennego (Dz. U. 2003.164.1587)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z pózn. zm.)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Kietliński W. Janowska J. Proces inwestycyjny w budownictwie, Oficyna Wydawnicza Politechniki Warszawskiej,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w01: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wo3: </w:t>
      </w:r>
    </w:p>
    <w:p>
      <w:pPr/>
      <w:r>
        <w:rPr/>
        <w:t xml:space="preserve"> 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2026-08-20T09:19:04+02:00</dcterms:created>
  <dcterms:modified xsi:type="dcterms:W3CDTF">2026-08-20T09:19:04+02:00</dcterms:modified>
</cp:coreProperties>
</file>

<file path=docProps/custom.xml><?xml version="1.0" encoding="utf-8"?>
<Properties xmlns="http://schemas.openxmlformats.org/officeDocument/2006/custom-properties" xmlns:vt="http://schemas.openxmlformats.org/officeDocument/2006/docPropsVTypes"/>
</file>