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kompozytów asfaltowych</w:t>
      </w:r>
    </w:p>
    <w:p>
      <w:pPr>
        <w:keepNext w:val="1"/>
        <w:spacing w:after="10"/>
      </w:pPr>
      <w:r>
        <w:rPr>
          <w:b/>
          <w:bCs/>
        </w:rPr>
        <w:t xml:space="preserve">Koordynator przedmiotu: </w:t>
      </w:r>
    </w:p>
    <w:p>
      <w:pPr>
        <w:spacing w:before="20" w:after="190"/>
      </w:pPr>
      <w:r>
        <w:rPr/>
        <w:t xml:space="preserve">Piotr Radziszewski, Prof. dr hab. inż., Michał Sarnowski,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TEKOAS</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&lt;br&gt;Umiejętność doboru materiałowego przy projektowaniu mieszanki typu beton asfaltowy do nawierzchni drogowych. &lt;br&gt;Podstawowa umiejętność doboru optymalnej technologii z zakresu mieszanek mineralno-asfaltowych stosowanych do warstw konstrukcyjnych nawierzchni drogowych spełniających warunki obciążenia i warunki klimatyczne. &lt;br&gt;Podstawowa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&lt;li&gt;Badania i ocena podstawowych właściwości asfaltów. Kompleksowa ocena właściwości lepiszczy asfaltowych na podstawie karty jakości asfaltu BTDC. &lt;li&gt;Mieszanki mineralno-asfaltowe (MMA): rodzaje, skład, metody otrzymywania, zakres stosowania, cechy techniczne, zastosowanie, metody produkcji i kontroli jakości. &lt;li&gt;Projektowanie składu mieszanki mineralnej o ciągłym uziarnieniu. Zasady ustalania składu MMA typu beton asfaltowy: szkielet mineralny, dobór ilości asfaltu dwoma metodami. &lt;li&gt;Indywidualne zaprojektowanie składu MMA typu beton asfaltowy, wykonanie próbek do badań, badanie właściwości wybranej mieszanki mineralno-asfaltowej. Metody badania i oceny właściwości MMA typu beton asfaltowy. &lt;li&gt;Ocena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Egzamin pisemny.&lt;br&gt;
Sprawozdanie z laboratorium oraz test.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2007;&lt;br&gt; 
[5] Roberts F. L., Kandhal P. S., Brown E. R., Lee D. and Kennedy T. W., “Hot Mix Asphalt Materials, Mixture Design, and Construction”, 2nd ed.., NAPA Education Foundation, Lanham, Maryland, 1996;&lt;br&gt;
[6] “The Asphalt Handbook”, Asphalt Institute, USA, manual series no. 4 (MS-4), 7th edition, 2007;&lt;br&gt;
[7] Usmani A. M., “Asphalt Science and Technology”, New York, 1997;&lt;br&gt;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TEKOASW1: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TEKOASU1: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TEKOASU2: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TEKOASU3: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TEKOASK1: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2026-09-27T08:16:09+02:00</dcterms:created>
  <dcterms:modified xsi:type="dcterms:W3CDTF">2026-09-27T08:16:09+02:00</dcterms:modified>
</cp:coreProperties>
</file>

<file path=docProps/custom.xml><?xml version="1.0" encoding="utf-8"?>
<Properties xmlns="http://schemas.openxmlformats.org/officeDocument/2006/custom-properties" xmlns:vt="http://schemas.openxmlformats.org/officeDocument/2006/docPropsVTypes"/>
</file>