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 I</w:t>
      </w:r>
    </w:p>
    <w:p>
      <w:pPr>
        <w:keepNext w:val="1"/>
        <w:spacing w:after="10"/>
      </w:pPr>
      <w:r>
        <w:rPr>
          <w:b/>
          <w:bCs/>
        </w:rPr>
        <w:t xml:space="preserve">Koordynator przedmiotu: </w:t>
      </w:r>
    </w:p>
    <w:p>
      <w:pPr>
        <w:spacing w:before="20" w:after="190"/>
      </w:pPr>
      <w:r>
        <w:rPr/>
        <w:t xml:space="preserve">Piotr Radziszewski, Prof. dr hab. inż., Prof. nzw.PW, Jan Król,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TMIND1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ECTS:&lt;br&gt;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ECTS:&lt;br&gt;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ECTS:&lt;br&gt;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&lt;br&gt;Umiejętność doboru materiałowego przy projektowaniu mieszanki typu beton asfaltowy do nawierzchni drogowych. &lt;br&gt;Podstawowa umiejętność doboru optymalnej technologii z zakresu mieszanek mineralno-asfaltowych stosowanych do warstw konstrukcyjnych nawierzchni drogowych spełniających warunki obciążenia i warunki klimatyczne. &lt;br&gt;Podstawowa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&lt;ol&gt;&lt;li&gt;Konstrukcja nawierzchni drogowej: nawierzchnia podatna, nawierzchnia półsztywna, nawierzchnia sztywna.
&lt;li&gt;Asfalty, materiały kamienne: badania i ocena podstawowych właściwości kruszyw. Badania i ocena podstawowych właściwości asfaltów. &lt;li&gt;Kompleksowa ocena właściwości lepiszczy asfaltowych na podstawie karty jakości asfaltu BTDC.
&lt;li&gt;Mieszanki mineralno-asfaltowe (MMA): rodzaje, skład, metody otrzymywania, zakres stosowania, cechy techniczne, zastosowanie, metody produkcji i kontroli jakości.
&lt;li&gt;Projektowanie składu mieszanki mineralnej o ciągłym uziarnieniu. 
&lt;li&gt;Zasady ustalania składu MMA typu beton asfaltowy: szkielet mineralny, dobór ilości asfaltu dwoma metodami. Indywidualne zaprojektowanie składu MMA typu beton asfaltowy, wykonanie próbek do badań, badanie właściwości wybranej mieszanki mineralno-asfaltowej.
&lt;li&gt;Metody badania i oceny właściwości MMA typu beton asfaltowy. Ocena odporności betonu asfaltowego na działanie wody oraz ocena właściwości fizycznych.
&lt;li&gt;Podstawy technologii nawierzchni z betonu cementowego: rodzaje nawierzchni, podstawy technologii wykonania.&lt;/ol&gt;</w:t>
      </w:r>
    </w:p>
    <w:p>
      <w:pPr>
        <w:keepNext w:val="1"/>
        <w:spacing w:after="10"/>
      </w:pPr>
      <w:r>
        <w:rPr>
          <w:b/>
          <w:bCs/>
        </w:rPr>
        <w:t xml:space="preserve">Metody oceny: </w:t>
      </w:r>
    </w:p>
    <w:p>
      <w:pPr>
        <w:spacing w:before="20" w:after="190"/>
      </w:pPr>
      <w:r>
        <w:rPr/>
        <w:t xml:space="preserve">Egzamin pisemny.&lt;br&gt;
Sprawozdanie i test zaliczeniowy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2003;&lt;br&gt;
[2] Piłat J., Radziszewski P. Nawierzchnie asfaltowe. WKiŁ, Warszawa 2010;&lt;br&gt;
[3] Gaweł, M. Kalabińska, J. Piłat – Asfalty drogowe. WKiŁ, Warszawa 2001;&lt;br&gt;
[4] Błażejowski K., “SMA. Teoria i praktyka”, Warszawa 2007;&lt;br&gt;
[5] Roberts F. L., Kandhal P. S., Brown E. R., Lee D. and Kennedy T. W., “Hot Mix Asphalt Materials, Mixture Design, and Construction”, 2nd ed.., NAPA Education Foundation, Lanham, Maryland, 1996;&lt;br&gt;
[6] “The Asphalt Handbook”, Asphalt Institute, USA, manual series no. 4 (MS-4), 7th edition, 2007;&lt;br&gt;
[7] Usmani A. M., “Asphalt Science and Technology”, New York, 1997;&lt;br&gt;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TMINDW1: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TMINDW2: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TMINDW3: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TMINDU1: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TMINDU2: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TMINDU3: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TMINDK1: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2026-10-19T13:32:37+02:00</dcterms:created>
  <dcterms:modified xsi:type="dcterms:W3CDTF">2026-10-19T13:32:37+02:00</dcterms:modified>
</cp:coreProperties>
</file>

<file path=docProps/custom.xml><?xml version="1.0" encoding="utf-8"?>
<Properties xmlns="http://schemas.openxmlformats.org/officeDocument/2006/custom-properties" xmlns:vt="http://schemas.openxmlformats.org/officeDocument/2006/docPropsVTypes"/>
</file>