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ELARCH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ELARCHW1: </w:t>
      </w:r>
    </w:p>
    <w:p>
      <w:pPr/>
      <w:r>
        <w:rPr/>
        <w:t xml:space="preserve">Ma podstawową wiedzę na temat projektowania architektonicznego wg zasad zrównoważonego rozwoju oraz zagadnień powiązanych z projektowaniem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ELARCHU1: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ELARCHK1: </w:t>
      </w:r>
    </w:p>
    <w:p>
      <w:pPr/>
      <w:r>
        <w:rPr/>
        <w:t xml:space="preserve">Ma zdolność kompetentnej współpracy z architektem w trakcie procesu twórczego.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2026-10-19T17:18:48+02:00</dcterms:created>
  <dcterms:modified xsi:type="dcterms:W3CDTF">2026-10-19T17:18:48+02:00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