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doświadczalne i metody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C.Ajdukiewicz, dr inż. A. Szwed, dr hab. inż. G. Dzierżanowski, dr inż. T. Sokół, dr inż. S.Czarnecki,  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PODOSW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 Ćwiczenia audytoryjne 10 godz.  Ćwiczenia laboratoryjne 5 godz.  Praca własna nad projektami:  15 godz. konsultacje 5 godz.
Razem: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audytoryjne: 10 godz.  ćwiczenia laboratoryjne: 5 godz. konsultacje 5 godz.
Razem 35 godz.=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10 godz.  ćwiczenia laboratoryjne: 5 godz. .Praca własna studenta nad projektem: 15 godz.
Razem 30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Wytrzymałości Materiałów I i II oraz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metod  doświadczalnych mechaniki ciała stałego i konstrukcji.&lt;br&gt;
Zrozumienie teorii trwałych deformacji i zjawisk dyssypatywnych oraz podstaw mechaniki pękania.&lt;br&gt;
Zrozumienie podstaw  teoretycznych Metody Elementów Skończonych w teorii liniowej sprężystości.&lt;br&gt;
Zrozumienie podstaw topologicznej optymalizacji konstrukcji.&lt;br&gt;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&lt;ol&gt;&lt;li&gt;Zastosowanie automatycznych systemów pomiarowych w statycznych i dynamicznych badaniach materiałowych. 
&lt;li&gt;Podstawy fotogrametrii w analizie przemieszczeń i odkształceń elementów konstrukcji.
&lt;li&gt;Elementy mechaniki pękania.
&lt;li&gt;Zjawiska mechaniczno-termiczne.
&lt;li&gt;Teoria MES w zadaniach statyki konstrukcji.
&lt;li&gt;Teoretyczne podstawy zadania minimalizacji podatności konstrukcji.&lt;/ol&gt;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projektowa, broniona na forum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Y.C,Fung, Podstawy Mechaniki Ciała Stałego. Warszawa 1969. PWN , Warszawa;&lt;br&gt;
[2] Mechanika Techniczna, PWN. tomy dotyczące mechaniki ciała stałego i konstrukcji;&lt;br&gt;
[3] M.P. Bendsøe, O. Sigmund,  Topology optimization, theory, methods and applications. Springer, Berlin,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przygotowuje do studiów II st.  na specjalności Teoria Konstrukcji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PODOSWW1: </w:t>
      </w:r>
    </w:p>
    <w:p>
      <w:pPr/>
      <w:r>
        <w:rPr/>
        <w:t xml:space="preserve">							Przygotowanie do dalszych studiów w zakresie mechaniki konstrukcji, m.in. w ramach sekcji Teoria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prezentacja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PODOSWU1: </w:t>
      </w:r>
    </w:p>
    <w:p>
      <w:pPr/>
      <w:r>
        <w:rPr/>
        <w:t xml:space="preserve">							Umiejętność komputerowego modelowania deformacji wybranych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prezentacja założeń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T1A_U04,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PODOSWK1: </w:t>
      </w:r>
    </w:p>
    <w:p>
      <w:pPr/>
      <w:r>
        <w:rPr/>
        <w:t xml:space="preserve">							Umiejętność pracy samodzielnej 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2026-09-27T02:09:33+02:00</dcterms:created>
  <dcterms:modified xsi:type="dcterms:W3CDTF">2026-09-27T02:09:33+02:00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