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inżynierskie i ich modelowanie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Gilewski, prof.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KIiM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30 godz., praca własna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wykład, praca własna 20 godz.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20 godz. = 1 ECTS: praca własna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z przedmiotów konstrukcyjnych, Mechaniki Konstrukcji i Wytrzymałości Materiałów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innowacyjnymi konstrukcjami inżynierskimi i ich modelowaniem komputerowym przy wykorzystaniu Metody Elementów Skończonych.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Innowacyjne konstrukcje inżynierskie.
Konstrukcje tensegrity.
Konstrukcje na bazie origami.
Tensairity.
Konstrukcje tkaninopodobne.
Zasady modelowania komputerowego konstrukcji.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projektowa.
Prezentacja.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...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KIiMW1: </w:t>
      </w:r>
    </w:p>
    <w:p>
      <w:pPr/>
      <w:r>
        <w:rPr/>
        <w:t xml:space="preserve">Zna zasady modelowania numerycznego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K1_W04,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T1A_W05, T1A_W06, T1A_W07,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KIiMU1: </w:t>
      </w:r>
    </w:p>
    <w:p>
      <w:pPr/>
      <w:r>
        <w:rPr/>
        <w:t xml:space="preserve">Umie zbudować model MES złożonej konstrukcji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KIiMK1: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2025-06-12T16:20:45+02:00</dcterms:created>
  <dcterms:modified xsi:type="dcterms:W3CDTF">2025-06-12T16:20:45+02:00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