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Golubińska, dr inż. Piotr Knyziak, dr inż. Marcin Niedośpiał, mgr inż. Bartosz Grzeszykowski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APRKON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&lt;br&gt;• Ustawienia programu - preferencje zadania, materiały, normy, dokładność, jednostki itp. &lt;br&gt;• Obciążenia konstrukcji - przypadki obciążeń, definicje obciążeń: obciążenia powierzchniowe i liniowe, kombinacje ręczne i automatyczne, okładziny. &lt;br&gt;• Konstrukcje prętowe – płaskie i przestrzenne; definicja prętów, modelowanie połączeń (węzłów) i podpór, materiały, charakterystyki przekroju. &lt;br&gt;•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&lt;br&gt;•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&lt;br&gt;Student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APRKONW01: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APRKONW02: </w:t>
      </w:r>
    </w:p>
    <w:p>
      <w:pPr/>
      <w:r>
        <w:rPr/>
        <w:t xml:space="preserve">																					Zna zasady modelowania konstrukcji prętowych i płyt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APRKONU01: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APRKONU02: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APRKONK01: </w:t>
      </w:r>
    </w:p>
    <w:p>
      <w:pPr/>
      <w:r>
        <w:rPr/>
        <w:t xml:space="preserve">Potrafi współpracować w zespole przy realizacji zadań projektowch.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2026-04-24T01:14:15+02:00</dcterms:created>
  <dcterms:modified xsi:type="dcterms:W3CDTF">2026-04-24T01:14:15+02:00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