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szynowych.&lt;br&gt;- Zdobycie umiejętności projektowania najprostszych obiektów komunikacyjnych takich jak droga lokalna, parking, odcinek drogi szynowej. &lt;br&gt;- Przekazanie informacji niezbędnych do przemyślanego wyboru specjalności na dalszych studiach. &lt;br&gt;-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&lt;b&gt;Ćwiczenia&lt;/b&gt; (45 godz.): &lt;ol&gt;&lt;li&gt; Projekt drogi samochodowej zamiejskiej klasy Z, (21 godz.). &lt;li&gt;Projekt trasy i konstrukcji drogi szynowej (kolejowej, tramwajowej),(12 godz.). &lt;li&gt; Laboratorium komputerowe - symulacja ruchu i obliczenia konstrukcji nawierzchni drogi, (12 godz.).&lt;/ol&gt;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&lt;b&gt;Ćwiczenia:&lt;/b&gt;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INZKO2W1: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Ma wiedzę na temat funkcji informacji, doboru źródeł informacji, a także technicznych sposobów gromadzenia, przechowywania i dystrybucji informacji.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INZKO2U1: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INZKO2K1: </w:t>
      </w:r>
    </w:p>
    <w:p>
      <w:pPr/>
      <w:r>
        <w:rPr/>
        <w:t xml:space="preserve">Potrafi pracować samodzielnie i współpracować w zespole nad wyznaczonym zadaniem, określać priorytety służące reazlizacji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2026-09-29T07:12:10+02:00</dcterms:created>
  <dcterms:modified xsi:type="dcterms:W3CDTF">2026-09-29T07:12:10+02:00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